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E4697C">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781C7E2D" w14:textId="5F4AA497" w:rsidR="00F01E07" w:rsidRDefault="00F01E07" w:rsidP="00E4697C">
            <w:pPr>
              <w:pStyle w:val="Dates"/>
            </w:pPr>
          </w:p>
        </w:tc>
      </w:tr>
      <w:tr w:rsidR="00F01E07" w14:paraId="7CB23FF3" w14:textId="77777777" w:rsidTr="00E4697C">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E4697C">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E4697C">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E4697C">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E4697C">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E4697C">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4F6FBB5E" w14:textId="77777777" w:rsidTr="00E4697C">
        <w:trPr>
          <w:cantSplit/>
          <w:trHeight w:val="260"/>
        </w:trPr>
        <w:tc>
          <w:tcPr>
            <w:tcW w:w="1134" w:type="dxa"/>
          </w:tcPr>
          <w:p w14:paraId="28B9CDF2" w14:textId="3E99039C" w:rsidR="00F01E07" w:rsidRDefault="00E4697C">
            <w:r>
              <w:t>E</w:t>
            </w:r>
            <w:r w:rsidR="00F01E07">
              <w:t>-Mail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4305A831" w14:textId="77777777" w:rsidR="00F01E07" w:rsidRDefault="00F01E07">
      <w:pPr>
        <w:pStyle w:val="Opening"/>
      </w:pPr>
    </w:p>
    <w:p w14:paraId="1FDAFEDD" w14:textId="767D98AB" w:rsidR="00257BB4" w:rsidRPr="00257BB4" w:rsidRDefault="00257BB4" w:rsidP="00297DD3">
      <w:pPr>
        <w:spacing w:line="360" w:lineRule="auto"/>
        <w:ind w:right="1418"/>
        <w:rPr>
          <w:b/>
          <w:bCs/>
          <w:sz w:val="32"/>
          <w:szCs w:val="32"/>
        </w:rPr>
      </w:pPr>
      <w:r w:rsidRPr="00257BB4">
        <w:rPr>
          <w:b/>
          <w:bCs/>
          <w:sz w:val="32"/>
          <w:szCs w:val="32"/>
        </w:rPr>
        <w:t xml:space="preserve">Deutsche Werkzeugmaschinenindustrie startet </w:t>
      </w:r>
      <w:r w:rsidR="00E4697C">
        <w:rPr>
          <w:b/>
          <w:bCs/>
          <w:sz w:val="32"/>
          <w:szCs w:val="32"/>
        </w:rPr>
        <w:t xml:space="preserve">2022 </w:t>
      </w:r>
      <w:r w:rsidR="0063546C">
        <w:rPr>
          <w:b/>
          <w:bCs/>
          <w:sz w:val="32"/>
          <w:szCs w:val="32"/>
        </w:rPr>
        <w:t xml:space="preserve">nach der Pandemie </w:t>
      </w:r>
      <w:r w:rsidRPr="00257BB4">
        <w:rPr>
          <w:b/>
          <w:bCs/>
          <w:sz w:val="32"/>
          <w:szCs w:val="32"/>
        </w:rPr>
        <w:t xml:space="preserve">durch </w:t>
      </w:r>
    </w:p>
    <w:p w14:paraId="5B187AFF" w14:textId="328771F9" w:rsidR="00257BB4" w:rsidRPr="00257BB4" w:rsidRDefault="00257BB4" w:rsidP="00297DD3">
      <w:pPr>
        <w:spacing w:line="360" w:lineRule="auto"/>
        <w:ind w:right="1418"/>
        <w:rPr>
          <w:b/>
          <w:bCs/>
        </w:rPr>
      </w:pPr>
      <w:r w:rsidRPr="00257BB4">
        <w:rPr>
          <w:b/>
          <w:bCs/>
        </w:rPr>
        <w:t>Produktionsplus von 14 Prozent erwartet</w:t>
      </w:r>
    </w:p>
    <w:p w14:paraId="55336552" w14:textId="77777777" w:rsidR="00257BB4" w:rsidRPr="00257BB4" w:rsidRDefault="00257BB4" w:rsidP="00297DD3">
      <w:pPr>
        <w:spacing w:line="360" w:lineRule="auto"/>
        <w:ind w:right="1418"/>
        <w:rPr>
          <w:b/>
          <w:bCs/>
        </w:rPr>
      </w:pPr>
    </w:p>
    <w:p w14:paraId="5E0C344F" w14:textId="3F881C6A" w:rsidR="00257BB4" w:rsidRDefault="00257BB4" w:rsidP="00297DD3">
      <w:pPr>
        <w:spacing w:line="360" w:lineRule="auto"/>
        <w:ind w:right="1418"/>
      </w:pPr>
      <w:r w:rsidRPr="00257BB4">
        <w:rPr>
          <w:b/>
          <w:bCs/>
        </w:rPr>
        <w:t>Frankfurt am Main, 15. Februar 2022.</w:t>
      </w:r>
      <w:r>
        <w:t xml:space="preserve"> – „Die Werkzeugmaschinenindustrie hat gute Chancen </w:t>
      </w:r>
      <w:r w:rsidR="00E4697C">
        <w:t>auf</w:t>
      </w:r>
      <w:r>
        <w:t xml:space="preserve"> ein erfolgreiches Jahr 2022</w:t>
      </w:r>
      <w:r w:rsidR="00E4697C">
        <w:t>“, sagt</w:t>
      </w:r>
      <w:r w:rsidR="0063546C">
        <w:t>e</w:t>
      </w:r>
      <w:r w:rsidR="00E4697C">
        <w:t xml:space="preserve"> Franz-Xaver Bernhard, Vorsitzender des VDW (Verband Deutscher Werkzeugmaschinenfabrik) am Dienstag auf der Jahrespressekonferenz </w:t>
      </w:r>
      <w:r w:rsidR="0063546C">
        <w:t xml:space="preserve">des Verbands </w:t>
      </w:r>
      <w:r w:rsidR="00E4697C">
        <w:t xml:space="preserve">in Frankfurt am Main. </w:t>
      </w:r>
      <w:r w:rsidR="003109F2">
        <w:t xml:space="preserve">Seit </w:t>
      </w:r>
      <w:r w:rsidR="00F77CA4">
        <w:t>vergangenem</w:t>
      </w:r>
      <w:r w:rsidR="003109F2">
        <w:t xml:space="preserve"> Jahr </w:t>
      </w:r>
      <w:r w:rsidR="008A2BE6">
        <w:t>befindet sich</w:t>
      </w:r>
      <w:r w:rsidR="003109F2">
        <w:t xml:space="preserve"> </w:t>
      </w:r>
      <w:r w:rsidR="00096F5D">
        <w:t>die Branche</w:t>
      </w:r>
      <w:r w:rsidR="00436BDF">
        <w:t xml:space="preserve"> </w:t>
      </w:r>
      <w:r w:rsidR="003109F2">
        <w:t xml:space="preserve">in </w:t>
      </w:r>
      <w:r w:rsidR="00436BDF">
        <w:t>eine</w:t>
      </w:r>
      <w:r w:rsidR="003109F2">
        <w:t>m</w:t>
      </w:r>
      <w:r w:rsidR="00436BDF">
        <w:t xml:space="preserve"> s</w:t>
      </w:r>
      <w:r>
        <w:t>tarke</w:t>
      </w:r>
      <w:r w:rsidR="00436BDF">
        <w:t xml:space="preserve">n </w:t>
      </w:r>
      <w:r>
        <w:t>Aufschwung</w:t>
      </w:r>
      <w:r w:rsidR="00436BDF">
        <w:t xml:space="preserve">, der bezogen auf Märkte und Abnehmerbranchen breit aufgestellt </w:t>
      </w:r>
      <w:r w:rsidR="003109F2">
        <w:t>ist</w:t>
      </w:r>
      <w:r w:rsidR="00436BDF">
        <w:t xml:space="preserve">. </w:t>
      </w:r>
      <w:r w:rsidR="003109F2">
        <w:t xml:space="preserve">Für 2022 </w:t>
      </w:r>
      <w:r w:rsidR="00436BDF">
        <w:t>wird ein Produktionsplus von 14 Prozent</w:t>
      </w:r>
      <w:r w:rsidR="003109F2">
        <w:t xml:space="preserve"> prognostiziert</w:t>
      </w:r>
    </w:p>
    <w:p w14:paraId="10BC3D17" w14:textId="6348EE54" w:rsidR="00436BDF" w:rsidRDefault="00436BDF" w:rsidP="00297DD3">
      <w:pPr>
        <w:spacing w:line="360" w:lineRule="auto"/>
        <w:ind w:right="1418"/>
      </w:pPr>
    </w:p>
    <w:p w14:paraId="198090C2" w14:textId="77777777" w:rsidR="00BF72D7" w:rsidRPr="00DD20E4" w:rsidRDefault="00BF72D7" w:rsidP="00BF72D7">
      <w:pPr>
        <w:spacing w:line="360" w:lineRule="auto"/>
        <w:ind w:right="1418"/>
        <w:rPr>
          <w:b/>
          <w:bCs/>
        </w:rPr>
      </w:pPr>
      <w:r w:rsidRPr="00DD20E4">
        <w:rPr>
          <w:b/>
          <w:bCs/>
        </w:rPr>
        <w:t>Starke Nachfrage begründet Zuversicht</w:t>
      </w:r>
    </w:p>
    <w:p w14:paraId="0D333F70" w14:textId="5F38F31C" w:rsidR="00BF72D7" w:rsidRDefault="00BF72D7" w:rsidP="00BF72D7">
      <w:pPr>
        <w:spacing w:line="360" w:lineRule="auto"/>
        <w:ind w:right="1418"/>
      </w:pPr>
      <w:r>
        <w:t xml:space="preserve">„Der Optimismus für 2022 gründet auf der hervorragenden Nachfrageentwicklung seit Mitte </w:t>
      </w:r>
      <w:r w:rsidR="00AE0619">
        <w:t>vergangenen Jahres</w:t>
      </w:r>
      <w:r>
        <w:t xml:space="preserve">“, erläuterte Bernhard. Sie zeige den großen Nachholbedarf bei den Investitionen weltweit, der gerne mit Werkzeugmaschinen </w:t>
      </w:r>
      <w:r w:rsidRPr="00BF72D7">
        <w:rPr>
          <w:i/>
          <w:iCs/>
        </w:rPr>
        <w:t>Made in Germany</w:t>
      </w:r>
      <w:r>
        <w:t xml:space="preserve"> gedeckt werde. Der Auftragseingang ist 2021 insgesamt um 58 Prozent gestiegen. Starker Treiber war das Ausland mit einem Anstieg von 62 Prozent. Die inländischen Bestellungen legten </w:t>
      </w:r>
      <w:r w:rsidR="00154AE6">
        <w:t>e</w:t>
      </w:r>
      <w:r>
        <w:t xml:space="preserve">benfalls kräftig um mehr als die Hälfte zu. </w:t>
      </w:r>
    </w:p>
    <w:p w14:paraId="5AF6A7DE" w14:textId="77777777" w:rsidR="00154AE6" w:rsidRDefault="00154AE6" w:rsidP="00BF72D7">
      <w:pPr>
        <w:spacing w:line="360" w:lineRule="auto"/>
        <w:ind w:right="1418"/>
      </w:pPr>
    </w:p>
    <w:p w14:paraId="0215562D" w14:textId="2A98A8CA" w:rsidR="00BF72D7" w:rsidRDefault="00BF72D7" w:rsidP="00BF72D7">
      <w:pPr>
        <w:spacing w:line="360" w:lineRule="auto"/>
        <w:ind w:right="1418"/>
      </w:pPr>
      <w:r>
        <w:t xml:space="preserve">Von den ausländischen Märkten hatten die Europäer nach vorläufigen Zahlen des VDW die Nase vorn. Sie steigerten ihre Bestellungen um </w:t>
      </w:r>
      <w:r w:rsidR="00BB4380">
        <w:t xml:space="preserve">90 </w:t>
      </w:r>
      <w:r>
        <w:t>Prozent, gefolgt von Amerika mit einem Zuwachs von 6</w:t>
      </w:r>
      <w:r w:rsidR="00BB4380">
        <w:t>6</w:t>
      </w:r>
      <w:r>
        <w:t xml:space="preserve"> und Asien mit einem Anstieg von </w:t>
      </w:r>
      <w:r w:rsidR="00BB4380">
        <w:lastRenderedPageBreak/>
        <w:t>61</w:t>
      </w:r>
      <w:r>
        <w:t xml:space="preserve"> Prozent. </w:t>
      </w:r>
      <w:r w:rsidR="00154AE6">
        <w:t xml:space="preserve">China und die USA bleiben </w:t>
      </w:r>
      <w:r>
        <w:t xml:space="preserve">die beiden größten Märkte </w:t>
      </w:r>
      <w:r w:rsidR="00154AE6">
        <w:t xml:space="preserve">und </w:t>
      </w:r>
      <w:r>
        <w:t>die wichtigsten Kunden mit hohen zweistelligen Zuwächsen von 6</w:t>
      </w:r>
      <w:r w:rsidR="00BB4380">
        <w:t>5</w:t>
      </w:r>
      <w:r>
        <w:t xml:space="preserve"> und 92 Prozent. In der Liste der Top 20 haben alle Länder ihre Nachfrage mindestens zweistellig, manche sogar dreistellig, nach oben gefahren. Besonders gut liefen die Bestellungen aus Italien, Österreich, Tschechien, der Schweiz und Indien. Italien</w:t>
      </w:r>
      <w:r w:rsidR="00AE0619">
        <w:t xml:space="preserve"> </w:t>
      </w:r>
      <w:r>
        <w:t xml:space="preserve">und Österreich profitierten von staatlicher Förderung.  </w:t>
      </w:r>
    </w:p>
    <w:p w14:paraId="0797AF74" w14:textId="77777777" w:rsidR="00BF72D7" w:rsidRDefault="00BF72D7" w:rsidP="00BF72D7">
      <w:pPr>
        <w:spacing w:line="360" w:lineRule="auto"/>
        <w:ind w:right="1418"/>
      </w:pPr>
    </w:p>
    <w:p w14:paraId="3F5E0DFE" w14:textId="516D3289" w:rsidR="00BF72D7" w:rsidRDefault="00BF72D7" w:rsidP="00BF72D7">
      <w:pPr>
        <w:spacing w:line="360" w:lineRule="auto"/>
        <w:ind w:right="1418"/>
      </w:pPr>
      <w:r>
        <w:t xml:space="preserve">Das globale Bruttoinlandsprodukt soll </w:t>
      </w:r>
      <w:r w:rsidR="001D220A">
        <w:t xml:space="preserve">2022 gemäß Prognosepartner Oxford Economics </w:t>
      </w:r>
      <w:r>
        <w:t>um 4,2 Prozent wachsen, die Industrieproduktion um 4,4 Prozent und die Investitionen um 4,3 Prozent. Beim Investitionsanstieg führt unser größter Abnehmer Europa die Triade an. „Davon können wir profitieren, denn die Auftragsbücher vieler Kunden sind gut gefüllt“, sagt</w:t>
      </w:r>
      <w:r w:rsidR="006A33ED">
        <w:t>e</w:t>
      </w:r>
      <w:r>
        <w:t xml:space="preserve"> Bernhard.</w:t>
      </w:r>
      <w:r w:rsidR="00887BA2">
        <w:t xml:space="preserve"> </w:t>
      </w:r>
      <w:r>
        <w:t>Für Deutschland stell</w:t>
      </w:r>
      <w:r w:rsidR="00887BA2">
        <w:t>t</w:t>
      </w:r>
      <w:r>
        <w:t xml:space="preserve">en sich einige Daten noch besser dar. </w:t>
      </w:r>
      <w:r w:rsidR="00B15BB7">
        <w:t xml:space="preserve">Nach schwächerer Entwicklung im Vorjahr zieht die deutsche Industrie jetzt nach. </w:t>
      </w:r>
      <w:r>
        <w:t>Auch d</w:t>
      </w:r>
      <w:r w:rsidR="00E95E86">
        <w:t>ie beiden Frühindikatoren,</w:t>
      </w:r>
      <w:r>
        <w:t xml:space="preserve"> Ifo-Geschäftsklima</w:t>
      </w:r>
      <w:r w:rsidR="00E95E86">
        <w:t xml:space="preserve"> und Einkaufsmanagerindex, zeigen nach oben. </w:t>
      </w:r>
      <w:r>
        <w:t xml:space="preserve"> </w:t>
      </w:r>
    </w:p>
    <w:p w14:paraId="32BED484" w14:textId="5DEB8C9D" w:rsidR="008D261B" w:rsidRDefault="008D261B" w:rsidP="00BF72D7">
      <w:pPr>
        <w:spacing w:line="360" w:lineRule="auto"/>
        <w:ind w:right="1418"/>
      </w:pPr>
    </w:p>
    <w:p w14:paraId="7A4A9CFF" w14:textId="0FCE26C3" w:rsidR="008D261B" w:rsidRDefault="008D261B" w:rsidP="008D261B">
      <w:pPr>
        <w:spacing w:line="360" w:lineRule="auto"/>
        <w:ind w:right="1418"/>
      </w:pPr>
      <w:r>
        <w:t>„Gleichwohl ist die Prognose 2022 noch von Unsicherheit geprägt“, räumt</w:t>
      </w:r>
      <w:r w:rsidR="006A33ED">
        <w:t>e</w:t>
      </w:r>
      <w:r>
        <w:t xml:space="preserve"> Bernhard ein. Angesichts der gewaltigen Infektionszahlen mit der Omi</w:t>
      </w:r>
      <w:r w:rsidR="00002F73">
        <w:t>k</w:t>
      </w:r>
      <w:r>
        <w:t xml:space="preserve">ron-Variante befürchtet Oxford Economics, dass sich viele Menschen in die Selbstisolation begeben, nicht reisen und damit das Wirtschaftsleben hemmen. Zwar zeige die Erfahrung, dass die Wirtschaft schnell wieder Tritt fasst, wenn die Infektionszahlen sinken. Der schwache Jahresstart sei jedoch eine Hypothek für das Gesamtergebnis. Auch erschwere die erklärte </w:t>
      </w:r>
      <w:proofErr w:type="spellStart"/>
      <w:r>
        <w:t>No</w:t>
      </w:r>
      <w:proofErr w:type="spellEnd"/>
      <w:r>
        <w:t xml:space="preserve">-Covid-Strategie Chinas eine Normalisierung der Lieferketten. </w:t>
      </w:r>
    </w:p>
    <w:p w14:paraId="7FEBF0C4" w14:textId="18D1BA55" w:rsidR="00BF72D7" w:rsidRDefault="00BF72D7" w:rsidP="00297DD3">
      <w:pPr>
        <w:spacing w:line="360" w:lineRule="auto"/>
        <w:ind w:right="1418"/>
      </w:pPr>
    </w:p>
    <w:p w14:paraId="40E61DDB" w14:textId="0FB90B5E" w:rsidR="00E95E86" w:rsidRPr="00410882" w:rsidRDefault="00410882" w:rsidP="00297DD3">
      <w:pPr>
        <w:spacing w:line="360" w:lineRule="auto"/>
        <w:ind w:right="1418"/>
        <w:rPr>
          <w:b/>
          <w:bCs/>
        </w:rPr>
      </w:pPr>
      <w:r>
        <w:rPr>
          <w:b/>
          <w:bCs/>
        </w:rPr>
        <w:t xml:space="preserve">Erholung </w:t>
      </w:r>
      <w:r w:rsidR="005F1468">
        <w:rPr>
          <w:b/>
          <w:bCs/>
        </w:rPr>
        <w:t xml:space="preserve">2021 </w:t>
      </w:r>
      <w:r>
        <w:rPr>
          <w:b/>
          <w:bCs/>
        </w:rPr>
        <w:t xml:space="preserve">schneller als erwartet </w:t>
      </w:r>
    </w:p>
    <w:p w14:paraId="3A98D29E" w14:textId="27F849FE" w:rsidR="00257BB4" w:rsidRDefault="00257BB4" w:rsidP="00297DD3">
      <w:pPr>
        <w:spacing w:line="360" w:lineRule="auto"/>
        <w:ind w:right="1418"/>
      </w:pPr>
      <w:r>
        <w:t>Nach dem tiefen Einbruch der We</w:t>
      </w:r>
      <w:r w:rsidR="00BF72D7">
        <w:t>rkzeugmaschinenindustrie</w:t>
      </w:r>
      <w:r>
        <w:t xml:space="preserve"> durch die Pandemie 2020</w:t>
      </w:r>
      <w:r w:rsidR="00BF72D7">
        <w:t xml:space="preserve"> </w:t>
      </w:r>
      <w:r>
        <w:t>ist die Branche</w:t>
      </w:r>
      <w:r w:rsidR="00436BDF">
        <w:t xml:space="preserve"> </w:t>
      </w:r>
      <w:r w:rsidR="00205F78">
        <w:t xml:space="preserve">mit guten Aufträgen </w:t>
      </w:r>
      <w:r>
        <w:t>im vergangenen Jahr wieder durchgestartet</w:t>
      </w:r>
      <w:r w:rsidR="00410882">
        <w:t xml:space="preserve">. Nach Schätzungen des VDW hat sie </w:t>
      </w:r>
      <w:r w:rsidR="005F1468">
        <w:t xml:space="preserve">2021 </w:t>
      </w:r>
      <w:r w:rsidR="00410882">
        <w:t>M</w:t>
      </w:r>
      <w:r>
        <w:t xml:space="preserve">aschinen und Dienstleistungen im Wert von rund 12,7 Mrd. Euro produziert. Das entsprach einem Zuwachs von 4 Prozent. </w:t>
      </w:r>
    </w:p>
    <w:p w14:paraId="13D4C507" w14:textId="77777777" w:rsidR="00257BB4" w:rsidRDefault="00257BB4" w:rsidP="00297DD3">
      <w:pPr>
        <w:spacing w:line="360" w:lineRule="auto"/>
        <w:ind w:right="1418"/>
      </w:pPr>
    </w:p>
    <w:p w14:paraId="347CE8BE" w14:textId="1877A6CB" w:rsidR="00257BB4" w:rsidRDefault="00257BB4" w:rsidP="00297DD3">
      <w:pPr>
        <w:spacing w:line="360" w:lineRule="auto"/>
        <w:ind w:right="1418"/>
      </w:pPr>
      <w:r>
        <w:lastRenderedPageBreak/>
        <w:t>Getrieben wurde das Geschäft durch den Export, der mit 8 Prozent Plus doppelt so stark wuchs wie die Produktion. Amerika führte das Auslandsgeschäft mit plus 13 Prozent an, gefolgt von Asien mit plus 11 und dem Schlusslicht Europa mit plus 5 Prozent</w:t>
      </w:r>
      <w:r w:rsidR="00436BDF">
        <w:t xml:space="preserve">. </w:t>
      </w:r>
      <w:r>
        <w:t xml:space="preserve">Unter den zehn größten Märkten </w:t>
      </w:r>
      <w:r w:rsidR="00410882">
        <w:t>legten</w:t>
      </w:r>
      <w:r>
        <w:t xml:space="preserve"> Tschechien, Italien, Mexiko, China und die Niederlande zweistellig zu. China hat sich nach einem starken Rückgang 2020 wieder gefangen. </w:t>
      </w:r>
    </w:p>
    <w:p w14:paraId="36F98B5A" w14:textId="77777777" w:rsidR="00257BB4" w:rsidRDefault="00257BB4" w:rsidP="00297DD3">
      <w:pPr>
        <w:spacing w:line="360" w:lineRule="auto"/>
        <w:ind w:right="1418"/>
      </w:pPr>
    </w:p>
    <w:p w14:paraId="3F7C0FF2" w14:textId="1C409183" w:rsidR="00257BB4" w:rsidRDefault="00257BB4" w:rsidP="00297DD3">
      <w:pPr>
        <w:spacing w:line="360" w:lineRule="auto"/>
        <w:ind w:right="1418"/>
      </w:pPr>
      <w:r>
        <w:t xml:space="preserve">Dem gegenüber ging der Inlandsabsatz </w:t>
      </w:r>
      <w:r w:rsidR="008D261B">
        <w:t xml:space="preserve">aufgrund der Investitionszurückhaltung der Automobilindustrie </w:t>
      </w:r>
      <w:r>
        <w:t>noch um 5 Prozent zurück. Der nur leicht gestiegene Verbrauch von 1 Prozent wurde durch die Importe gestützt, die um mehr als ein Zehntel zulegten</w:t>
      </w:r>
      <w:r w:rsidR="008D261B">
        <w:t>. D</w:t>
      </w:r>
      <w:r>
        <w:t>ie Kapazitätsauslastung</w:t>
      </w:r>
      <w:r w:rsidR="008D261B">
        <w:t xml:space="preserve"> </w:t>
      </w:r>
      <w:r>
        <w:t xml:space="preserve">lag </w:t>
      </w:r>
      <w:r w:rsidR="005F1468">
        <w:t xml:space="preserve">im </w:t>
      </w:r>
      <w:r w:rsidR="00205F78" w:rsidRPr="00205F78">
        <w:t>Januar 2022 bei 87,2 Prozent im Vergleich zu 72,7 Prozent ein Jahr zuvor.</w:t>
      </w:r>
      <w:r>
        <w:t xml:space="preserve"> Mit 64.000 Mitarbeiterinnen und Mitarbeitern notierte die Beschäftigung im Dezember 6,1 Prozent unter Vorjahr</w:t>
      </w:r>
      <w:r w:rsidR="008D261B">
        <w:t xml:space="preserve">. </w:t>
      </w:r>
      <w:r>
        <w:t xml:space="preserve"> </w:t>
      </w:r>
    </w:p>
    <w:p w14:paraId="5EBF65FF" w14:textId="77777777" w:rsidR="00257BB4" w:rsidRDefault="00257BB4" w:rsidP="00297DD3">
      <w:pPr>
        <w:spacing w:line="360" w:lineRule="auto"/>
        <w:ind w:right="1418"/>
      </w:pPr>
    </w:p>
    <w:p w14:paraId="2BB24A15" w14:textId="0B4CD48D" w:rsidR="00257BB4" w:rsidRPr="00A11F02" w:rsidRDefault="00257BB4" w:rsidP="00297DD3">
      <w:pPr>
        <w:spacing w:line="360" w:lineRule="auto"/>
        <w:ind w:right="1418"/>
        <w:rPr>
          <w:b/>
          <w:bCs/>
        </w:rPr>
      </w:pPr>
      <w:r w:rsidRPr="00A11F02">
        <w:rPr>
          <w:b/>
          <w:bCs/>
        </w:rPr>
        <w:t>Größte Herausforderung sind Lieferengpässe</w:t>
      </w:r>
      <w:r w:rsidR="00A11F02" w:rsidRPr="00A11F02">
        <w:rPr>
          <w:b/>
          <w:bCs/>
        </w:rPr>
        <w:t xml:space="preserve"> und Fachkräftemangel</w:t>
      </w:r>
    </w:p>
    <w:p w14:paraId="71D0C8F7" w14:textId="4D02C984" w:rsidR="00257BB4" w:rsidRDefault="005643B0" w:rsidP="00297DD3">
      <w:pPr>
        <w:spacing w:line="360" w:lineRule="auto"/>
        <w:ind w:right="1418"/>
      </w:pPr>
      <w:r>
        <w:t>„</w:t>
      </w:r>
      <w:r w:rsidR="00257BB4">
        <w:t xml:space="preserve">Engpässe in den Lieferketten </w:t>
      </w:r>
      <w:r w:rsidR="0001192F">
        <w:t xml:space="preserve">von Elektronikbauteilen und Metallerzeugnissen </w:t>
      </w:r>
      <w:r w:rsidR="00257BB4">
        <w:t>waren das beherrschende Thema für die Industrie im vergangenen Jahr, und sie dauern an</w:t>
      </w:r>
      <w:r>
        <w:t>“, berichtet</w:t>
      </w:r>
      <w:r w:rsidR="005F1468">
        <w:t>e</w:t>
      </w:r>
      <w:r>
        <w:t xml:space="preserve"> Bernhard</w:t>
      </w:r>
      <w:r w:rsidR="00257BB4">
        <w:t xml:space="preserve">. In der Werkzeugmaschinenindustrie </w:t>
      </w:r>
      <w:r w:rsidR="005F1468">
        <w:t xml:space="preserve">hatten sie </w:t>
      </w:r>
      <w:r w:rsidR="00257BB4">
        <w:t xml:space="preserve">laut </w:t>
      </w:r>
      <w:r>
        <w:t xml:space="preserve">einer </w:t>
      </w:r>
      <w:r w:rsidR="00257BB4">
        <w:t xml:space="preserve">Umfrage </w:t>
      </w:r>
      <w:r>
        <w:t xml:space="preserve">Ende 2021 </w:t>
      </w:r>
      <w:r w:rsidR="00257BB4">
        <w:t>nahezu alle Hersteller</w:t>
      </w:r>
      <w:r w:rsidR="005F1468">
        <w:t xml:space="preserve"> erreicht</w:t>
      </w:r>
      <w:r w:rsidR="008D261B">
        <w:t xml:space="preserve">. </w:t>
      </w:r>
    </w:p>
    <w:p w14:paraId="71BA948D" w14:textId="77777777" w:rsidR="00257BB4" w:rsidRDefault="00257BB4" w:rsidP="00297DD3">
      <w:pPr>
        <w:spacing w:line="360" w:lineRule="auto"/>
        <w:ind w:right="1418"/>
      </w:pPr>
    </w:p>
    <w:p w14:paraId="1DE1E9EC" w14:textId="17FEE75A" w:rsidR="00257BB4" w:rsidRDefault="00257BB4" w:rsidP="00297DD3">
      <w:pPr>
        <w:spacing w:line="360" w:lineRule="auto"/>
        <w:ind w:right="1418"/>
      </w:pPr>
      <w:r>
        <w:t xml:space="preserve">Insbesondere der Chipmangel trifft die Firmen zweifach. Einerseits ist die Lieferfähigkeit </w:t>
      </w:r>
      <w:r w:rsidR="0001192F">
        <w:t xml:space="preserve">des wichtigen Abnehmers </w:t>
      </w:r>
      <w:r>
        <w:t xml:space="preserve">Automobilindustrie eingeschränkt. Andererseits fehlen Chips für Steuerungen, einer der wichtigsten Komponenten in der Werkzeugmaschine, aber auch für Gateways, Edge Computer oder Antriebe. Das verzögert die Auslieferung bestellter Maschinen. </w:t>
      </w:r>
    </w:p>
    <w:p w14:paraId="7ED7D095" w14:textId="77777777" w:rsidR="00257BB4" w:rsidRDefault="00257BB4" w:rsidP="00297DD3">
      <w:pPr>
        <w:spacing w:line="360" w:lineRule="auto"/>
        <w:ind w:right="1418"/>
      </w:pPr>
    </w:p>
    <w:p w14:paraId="163401C6" w14:textId="7EF9AB49" w:rsidR="00257BB4" w:rsidRDefault="00257BB4" w:rsidP="00297DD3">
      <w:pPr>
        <w:spacing w:line="360" w:lineRule="auto"/>
        <w:ind w:right="1418"/>
      </w:pPr>
      <w:r>
        <w:t xml:space="preserve">Die Ursachen </w:t>
      </w:r>
      <w:r w:rsidR="0001192F">
        <w:t xml:space="preserve">für den Chipmangel </w:t>
      </w:r>
      <w:r w:rsidR="005643B0">
        <w:t>starte</w:t>
      </w:r>
      <w:r w:rsidR="00791ECB">
        <w:t>te</w:t>
      </w:r>
      <w:r w:rsidR="0001192F">
        <w:t>n</w:t>
      </w:r>
      <w:r w:rsidR="005643B0">
        <w:t xml:space="preserve"> bei rückläufigen Bestellungen zu </w:t>
      </w:r>
      <w:r>
        <w:t>Beginn der Corona-Pandemie</w:t>
      </w:r>
      <w:r w:rsidR="00791ECB">
        <w:t>.</w:t>
      </w:r>
      <w:r w:rsidR="00A7099C">
        <w:t xml:space="preserve"> </w:t>
      </w:r>
      <w:r w:rsidR="005643B0">
        <w:t xml:space="preserve">Folge </w:t>
      </w:r>
      <w:r w:rsidR="00791ECB">
        <w:t xml:space="preserve">waren die </w:t>
      </w:r>
      <w:r w:rsidR="005643B0">
        <w:t xml:space="preserve">Stilllegung von Kapazitäten sowie </w:t>
      </w:r>
      <w:r w:rsidR="00791ECB">
        <w:t xml:space="preserve">die </w:t>
      </w:r>
      <w:r w:rsidR="005643B0">
        <w:t xml:space="preserve">Umleitung von Lieferungen in die Konsumgüterindustrie. </w:t>
      </w:r>
      <w:r w:rsidR="00A7099C">
        <w:t>Produktionskapazitäten für n</w:t>
      </w:r>
      <w:r>
        <w:t>eue Chipgenerationen</w:t>
      </w:r>
      <w:r w:rsidR="005643B0">
        <w:t xml:space="preserve"> benötige</w:t>
      </w:r>
      <w:r w:rsidR="00A7099C">
        <w:t>n Zeit</w:t>
      </w:r>
      <w:r w:rsidR="005643B0">
        <w:t>.</w:t>
      </w:r>
      <w:r w:rsidR="008318F3">
        <w:t xml:space="preserve"> </w:t>
      </w:r>
      <w:r w:rsidR="00A7099C">
        <w:t>B</w:t>
      </w:r>
      <w:r w:rsidR="008318F3">
        <w:t xml:space="preserve">eschränkt ist </w:t>
      </w:r>
      <w:r w:rsidR="00A7099C">
        <w:t xml:space="preserve">auch </w:t>
      </w:r>
      <w:r w:rsidR="008318F3">
        <w:t xml:space="preserve">Frachtraum </w:t>
      </w:r>
      <w:r w:rsidR="00A7099C">
        <w:t xml:space="preserve">durch </w:t>
      </w:r>
      <w:r>
        <w:t xml:space="preserve">Flughafen- und Hafenschließungen in China als Teil der strikten Null-Covid- und Lockdown-Politik des Landes. </w:t>
      </w:r>
      <w:r w:rsidR="008318F3">
        <w:t>„</w:t>
      </w:r>
      <w:r>
        <w:t>Dies kann jederzeit wieder eskalieren</w:t>
      </w:r>
      <w:r w:rsidR="008318F3">
        <w:t>“, warnt</w:t>
      </w:r>
      <w:r w:rsidR="005F1468">
        <w:t>e</w:t>
      </w:r>
      <w:r w:rsidR="008318F3">
        <w:t xml:space="preserve"> Bernhard</w:t>
      </w:r>
      <w:r>
        <w:t xml:space="preserve">. Seit einiger Zeit </w:t>
      </w:r>
      <w:r w:rsidR="00A7099C">
        <w:t xml:space="preserve">setzt die höhere </w:t>
      </w:r>
      <w:r>
        <w:lastRenderedPageBreak/>
        <w:t>Nachfrage nach manchen Produkten</w:t>
      </w:r>
      <w:r w:rsidR="00A7099C">
        <w:t>, um sich a</w:t>
      </w:r>
      <w:r w:rsidR="00CF4129">
        <w:t>b</w:t>
      </w:r>
      <w:r w:rsidR="00A7099C">
        <w:t xml:space="preserve">zusichern, die Lieferanten zusätzlich </w:t>
      </w:r>
      <w:r>
        <w:t>unter Druck.</w:t>
      </w:r>
    </w:p>
    <w:p w14:paraId="6434C073" w14:textId="77777777" w:rsidR="00257BB4" w:rsidRDefault="00257BB4" w:rsidP="00297DD3">
      <w:pPr>
        <w:spacing w:line="360" w:lineRule="auto"/>
        <w:ind w:right="1418"/>
      </w:pPr>
    </w:p>
    <w:p w14:paraId="56C7EC78" w14:textId="1A989F49" w:rsidR="00257BB4" w:rsidRDefault="00A7099C" w:rsidP="00297DD3">
      <w:pPr>
        <w:spacing w:line="360" w:lineRule="auto"/>
        <w:ind w:right="1418"/>
      </w:pPr>
      <w:r>
        <w:t>Für d</w:t>
      </w:r>
      <w:r w:rsidR="00257BB4">
        <w:t>ie Werkzeugmaschinenindustrie s</w:t>
      </w:r>
      <w:r w:rsidR="005F1468">
        <w:t>ind</w:t>
      </w:r>
      <w:r w:rsidR="00257BB4">
        <w:t xml:space="preserve"> Einfluss- und Kompensationsmöglichkeiten kurzfristig sehr begrenzt. </w:t>
      </w:r>
      <w:r>
        <w:t>D</w:t>
      </w:r>
      <w:r w:rsidR="00257BB4">
        <w:t xml:space="preserve">ie Umstellung auf eine neue Chipgeneration </w:t>
      </w:r>
      <w:r>
        <w:t xml:space="preserve">braucht Zeit, weil schnell </w:t>
      </w:r>
      <w:r w:rsidR="00257BB4">
        <w:t>Entwicklungsaufwände von mehreren Mannjahren entstehen können</w:t>
      </w:r>
      <w:r w:rsidR="007B5D73">
        <w:t>. „</w:t>
      </w:r>
      <w:r w:rsidR="00257BB4">
        <w:t>Einstweilen bleibt nur, bei der Materialbeschaffung hohe Kreativität an den Tag zu legen und höhere Preise in Kauf zu nehmen, die ggf. nicht weitergegeben werden können</w:t>
      </w:r>
      <w:r w:rsidR="007B5D73">
        <w:t>“, so der VDW-Vorsitzende</w:t>
      </w:r>
      <w:r w:rsidR="00257BB4">
        <w:t>. Mittelfristig w</w:t>
      </w:r>
      <w:r w:rsidR="007B5D73">
        <w:t>e</w:t>
      </w:r>
      <w:r w:rsidR="00257BB4">
        <w:t>rd</w:t>
      </w:r>
      <w:r w:rsidR="007B5D73">
        <w:t>e</w:t>
      </w:r>
      <w:r w:rsidR="00257BB4">
        <w:t xml:space="preserve"> es immer wichtiger, stabile Lieferketten aufzubauen und die Zahl der Lieferanten zu diversifizieren, um Abhängigkeiten zu </w:t>
      </w:r>
      <w:r w:rsidR="00D931F4">
        <w:t>reduzieren</w:t>
      </w:r>
      <w:r w:rsidR="00257BB4">
        <w:t xml:space="preserve">.  </w:t>
      </w:r>
    </w:p>
    <w:p w14:paraId="4EC798A0" w14:textId="77777777" w:rsidR="00257BB4" w:rsidRDefault="00257BB4" w:rsidP="00297DD3">
      <w:pPr>
        <w:spacing w:line="360" w:lineRule="auto"/>
        <w:ind w:right="1418"/>
      </w:pPr>
    </w:p>
    <w:p w14:paraId="18CCDE3D" w14:textId="70B9331D" w:rsidR="00257BB4" w:rsidRPr="008318F3" w:rsidRDefault="00257BB4" w:rsidP="00297DD3">
      <w:pPr>
        <w:spacing w:line="360" w:lineRule="auto"/>
        <w:ind w:right="1418"/>
        <w:rPr>
          <w:b/>
          <w:bCs/>
        </w:rPr>
      </w:pPr>
      <w:r w:rsidRPr="008318F3">
        <w:rPr>
          <w:b/>
          <w:bCs/>
        </w:rPr>
        <w:t xml:space="preserve">Das Image der dualen Berufsausbildung </w:t>
      </w:r>
      <w:r w:rsidR="007B5D73">
        <w:rPr>
          <w:b/>
          <w:bCs/>
        </w:rPr>
        <w:t xml:space="preserve">offensiv </w:t>
      </w:r>
      <w:r w:rsidRPr="008318F3">
        <w:rPr>
          <w:b/>
          <w:bCs/>
        </w:rPr>
        <w:t xml:space="preserve">stärken </w:t>
      </w:r>
    </w:p>
    <w:p w14:paraId="067676BF" w14:textId="38964BC7" w:rsidR="00257BB4" w:rsidRDefault="008318F3" w:rsidP="00297DD3">
      <w:pPr>
        <w:spacing w:line="360" w:lineRule="auto"/>
        <w:ind w:right="1418"/>
      </w:pPr>
      <w:r>
        <w:t>Fast alle</w:t>
      </w:r>
      <w:r w:rsidR="00257BB4">
        <w:t xml:space="preserve"> </w:t>
      </w:r>
      <w:r>
        <w:t>W</w:t>
      </w:r>
      <w:r w:rsidR="00257BB4">
        <w:t xml:space="preserve">erkzeugmaschinenunternehmen </w:t>
      </w:r>
      <w:r>
        <w:t xml:space="preserve">sehen </w:t>
      </w:r>
      <w:r w:rsidR="00257BB4">
        <w:t>den Fachkräftemangel ähnlich gravierend wie die Lieferengpäss</w:t>
      </w:r>
      <w:r w:rsidR="00315548">
        <w:t>e</w:t>
      </w:r>
      <w:r w:rsidR="007B5D73">
        <w:t xml:space="preserve">. </w:t>
      </w:r>
      <w:r w:rsidR="00257BB4">
        <w:t xml:space="preserve">Über zwei Drittel </w:t>
      </w:r>
      <w:r w:rsidR="00D931F4">
        <w:t>der H</w:t>
      </w:r>
      <w:r w:rsidR="00257BB4">
        <w:t xml:space="preserve">ersteller wollen </w:t>
      </w:r>
      <w:r w:rsidR="007B5D73">
        <w:t xml:space="preserve">nach einer Umfrage </w:t>
      </w:r>
      <w:r w:rsidR="00257BB4">
        <w:t>im laufenden Jahr ihre Stammbelegschaft aufstocken. Dem gegenüber war die Zahl der</w:t>
      </w:r>
      <w:r w:rsidR="00315548">
        <w:t xml:space="preserve"> </w:t>
      </w:r>
      <w:r w:rsidR="007B5D73">
        <w:t>freien Stellen im</w:t>
      </w:r>
      <w:r w:rsidR="00315548">
        <w:t xml:space="preserve"> Maschinenbau</w:t>
      </w:r>
      <w:r w:rsidR="007B5D73">
        <w:t xml:space="preserve"> </w:t>
      </w:r>
      <w:r w:rsidR="00257BB4">
        <w:t xml:space="preserve">im Dezember 2021 etwa doppelt so hoch wie Ende </w:t>
      </w:r>
      <w:r w:rsidR="007B5D73">
        <w:t>2020</w:t>
      </w:r>
      <w:r w:rsidR="00257BB4">
        <w:t xml:space="preserve">. </w:t>
      </w:r>
      <w:r w:rsidR="00315548">
        <w:t>Auch die Zahl der Bewerber um eine Ausbildungsstelle und die der abgeschlossenen Ausbildungsverträge sind rückläufig</w:t>
      </w:r>
    </w:p>
    <w:p w14:paraId="09B633CA" w14:textId="77777777" w:rsidR="00257BB4" w:rsidRDefault="00257BB4" w:rsidP="00297DD3">
      <w:pPr>
        <w:spacing w:line="360" w:lineRule="auto"/>
        <w:ind w:right="1418"/>
      </w:pPr>
    </w:p>
    <w:p w14:paraId="32B09663" w14:textId="581F077F" w:rsidR="00257BB4" w:rsidRDefault="007B5D73" w:rsidP="00297DD3">
      <w:pPr>
        <w:spacing w:line="360" w:lineRule="auto"/>
        <w:ind w:right="1418"/>
      </w:pPr>
      <w:r>
        <w:t xml:space="preserve">Die Verfügbarkeit von </w:t>
      </w:r>
      <w:r w:rsidR="00257BB4">
        <w:t>Fachkräft</w:t>
      </w:r>
      <w:r>
        <w:t xml:space="preserve">en ist </w:t>
      </w:r>
      <w:r w:rsidR="00257BB4">
        <w:t xml:space="preserve">in </w:t>
      </w:r>
      <w:r w:rsidR="00315548">
        <w:t>der</w:t>
      </w:r>
      <w:r w:rsidR="00257BB4">
        <w:t xml:space="preserve"> hochspezialisierten </w:t>
      </w:r>
      <w:r w:rsidR="00315548">
        <w:t>Werkzeugmaschinenindustrie</w:t>
      </w:r>
      <w:r w:rsidR="00257BB4">
        <w:t xml:space="preserve"> unverzichtbare Voraussetzung für die Wettbewerbsfähigkeit. </w:t>
      </w:r>
      <w:r w:rsidR="00315548">
        <w:t>„Und q</w:t>
      </w:r>
      <w:r w:rsidR="00257BB4">
        <w:t>ualifizierte Fachkräfte setzen eine qualifizierte Ausbildung voraus</w:t>
      </w:r>
      <w:r w:rsidR="00315548">
        <w:t>“,</w:t>
      </w:r>
      <w:r w:rsidR="00D931F4">
        <w:t xml:space="preserve"> sagte</w:t>
      </w:r>
      <w:r w:rsidR="00315548">
        <w:t xml:space="preserve"> </w:t>
      </w:r>
      <w:r>
        <w:t>Bernhard. Er</w:t>
      </w:r>
      <w:r w:rsidR="00315548">
        <w:t xml:space="preserve"> fordert</w:t>
      </w:r>
      <w:r w:rsidR="00D931F4">
        <w:t>e</w:t>
      </w:r>
      <w:r w:rsidR="00315548">
        <w:t xml:space="preserve"> </w:t>
      </w:r>
      <w:r w:rsidR="00257BB4">
        <w:t xml:space="preserve">Unternehmen und Politik </w:t>
      </w:r>
      <w:r w:rsidR="00315548">
        <w:t xml:space="preserve">gleichermaßen auf, </w:t>
      </w:r>
      <w:r w:rsidR="00257BB4">
        <w:t xml:space="preserve">die Attraktivität der Berufsausbildung offensiv herauszustellen. </w:t>
      </w:r>
      <w:r>
        <w:t>S</w:t>
      </w:r>
      <w:r w:rsidR="00257BB4">
        <w:t xml:space="preserve">ie </w:t>
      </w:r>
      <w:r>
        <w:t xml:space="preserve">biete </w:t>
      </w:r>
      <w:r w:rsidR="00257BB4">
        <w:t>genauso viele Chance</w:t>
      </w:r>
      <w:r w:rsidR="00D931F4">
        <w:t>n</w:t>
      </w:r>
      <w:r w:rsidR="00B042BE">
        <w:t xml:space="preserve"> </w:t>
      </w:r>
      <w:r w:rsidR="00257BB4">
        <w:t xml:space="preserve">wie der akademische Werdegang. </w:t>
      </w:r>
      <w:r w:rsidR="00B042BE">
        <w:t xml:space="preserve">Unternehmen </w:t>
      </w:r>
      <w:r>
        <w:t xml:space="preserve">müssten </w:t>
      </w:r>
      <w:r w:rsidR="00B042BE">
        <w:t xml:space="preserve">ihre </w:t>
      </w:r>
      <w:r w:rsidR="00257BB4">
        <w:t>Attraktivität hervorheben</w:t>
      </w:r>
      <w:r>
        <w:t xml:space="preserve"> </w:t>
      </w:r>
      <w:r w:rsidR="0079017C">
        <w:t>sowie</w:t>
      </w:r>
      <w:r>
        <w:t xml:space="preserve"> </w:t>
      </w:r>
      <w:r w:rsidR="00257BB4">
        <w:t>eine gute Ausbildung</w:t>
      </w:r>
      <w:r w:rsidR="0079017C">
        <w:t xml:space="preserve"> und</w:t>
      </w:r>
      <w:r w:rsidR="00257BB4">
        <w:t xml:space="preserve"> spezielle Förderung</w:t>
      </w:r>
      <w:r w:rsidR="0079017C">
        <w:t xml:space="preserve"> bieten</w:t>
      </w:r>
      <w:r w:rsidR="00257BB4">
        <w:t xml:space="preserve">, wenn notwendig. Auszubildende </w:t>
      </w:r>
      <w:r w:rsidR="0079017C">
        <w:t>müssten</w:t>
      </w:r>
      <w:r w:rsidR="00257BB4">
        <w:t xml:space="preserve"> an das Unternehmen </w:t>
      </w:r>
      <w:r w:rsidR="0079017C">
        <w:t>auch nach der Ausbildung</w:t>
      </w:r>
      <w:r w:rsidR="00257BB4">
        <w:t xml:space="preserve"> durch Weiterbildungsangebote</w:t>
      </w:r>
      <w:r w:rsidR="0079017C">
        <w:t xml:space="preserve">, </w:t>
      </w:r>
      <w:r w:rsidR="00257BB4">
        <w:t>Aufstiegschancen</w:t>
      </w:r>
      <w:r w:rsidR="0079017C">
        <w:t xml:space="preserve"> und eine angemessene </w:t>
      </w:r>
      <w:r w:rsidR="00257BB4">
        <w:t>Geh</w:t>
      </w:r>
      <w:r w:rsidR="0079017C">
        <w:t>a</w:t>
      </w:r>
      <w:r w:rsidR="00257BB4">
        <w:t>lt</w:t>
      </w:r>
      <w:r w:rsidR="0079017C">
        <w:t>sentwicklung an das Unternehmen ge</w:t>
      </w:r>
      <w:r w:rsidR="00257BB4">
        <w:t xml:space="preserve">bunden </w:t>
      </w:r>
      <w:r w:rsidR="0079017C">
        <w:t>werden</w:t>
      </w:r>
      <w:r w:rsidR="00257BB4">
        <w:t xml:space="preserve">. Die Politik </w:t>
      </w:r>
      <w:r w:rsidR="0079017C">
        <w:t xml:space="preserve">ihrerseits </w:t>
      </w:r>
      <w:r w:rsidR="00257BB4">
        <w:t>muss den Stellenwert der Berufsausbildung</w:t>
      </w:r>
      <w:r w:rsidR="0079017C">
        <w:t xml:space="preserve"> ebenfalls</w:t>
      </w:r>
      <w:r w:rsidR="00257BB4">
        <w:t xml:space="preserve"> herausstellen und gewerblich-technische Berufsschulen</w:t>
      </w:r>
      <w:r w:rsidR="0079017C">
        <w:t xml:space="preserve"> unterstützen, die</w:t>
      </w:r>
      <w:r w:rsidR="00257BB4">
        <w:t xml:space="preserve"> auch ein regionaler Wirtschaftsfaktor sein können</w:t>
      </w:r>
      <w:r w:rsidR="0079017C">
        <w:t xml:space="preserve">. </w:t>
      </w:r>
      <w:r w:rsidR="00B042BE">
        <w:t xml:space="preserve">Sie </w:t>
      </w:r>
      <w:r w:rsidR="0079017C">
        <w:t xml:space="preserve">seien </w:t>
      </w:r>
      <w:r w:rsidR="00B042BE">
        <w:t xml:space="preserve">darüber hinaus </w:t>
      </w:r>
      <w:r w:rsidR="00257BB4">
        <w:lastRenderedPageBreak/>
        <w:t>Vorbild</w:t>
      </w:r>
      <w:r w:rsidR="00B042BE">
        <w:t>, weil s</w:t>
      </w:r>
      <w:r w:rsidR="00257BB4">
        <w:t xml:space="preserve">ie vielfach technologisch besser ausgestattet </w:t>
      </w:r>
      <w:r w:rsidR="00B042BE">
        <w:t xml:space="preserve">sind </w:t>
      </w:r>
      <w:r w:rsidR="00257BB4">
        <w:t>als andere Schultypen</w:t>
      </w:r>
      <w:r w:rsidR="00872011">
        <w:t xml:space="preserve">. </w:t>
      </w:r>
      <w:r w:rsidR="00257BB4">
        <w:t>Um d</w:t>
      </w:r>
      <w:r w:rsidR="00872011">
        <w:t>ie Digitalisierung weiter</w:t>
      </w:r>
      <w:r w:rsidR="00257BB4">
        <w:t xml:space="preserve"> zu forcieren, m</w:t>
      </w:r>
      <w:r w:rsidR="00B042BE">
        <w:t>ü</w:t>
      </w:r>
      <w:r w:rsidR="00257BB4">
        <w:t>ss</w:t>
      </w:r>
      <w:r w:rsidR="00B042BE">
        <w:t>e</w:t>
      </w:r>
      <w:r w:rsidR="00257BB4">
        <w:t xml:space="preserve"> </w:t>
      </w:r>
      <w:proofErr w:type="spellStart"/>
      <w:r w:rsidR="00257BB4">
        <w:t>viel mehr</w:t>
      </w:r>
      <w:proofErr w:type="spellEnd"/>
      <w:r w:rsidR="00257BB4">
        <w:t xml:space="preserve"> Berufsschulen die eigenständige Budgetierung zugestanden werden, die ihnen erlaubt, in eigener Verantwortung zu investieren. </w:t>
      </w:r>
      <w:r w:rsidR="0079017C">
        <w:t>„</w:t>
      </w:r>
      <w:r w:rsidR="00257BB4">
        <w:t xml:space="preserve">Die duale Ausbildung </w:t>
      </w:r>
      <w:r w:rsidR="0079017C">
        <w:t>ist</w:t>
      </w:r>
      <w:r w:rsidR="00257BB4">
        <w:t xml:space="preserve"> ein Exportschlager, den wir nicht aufs Spiel setzen </w:t>
      </w:r>
      <w:r w:rsidR="00D931F4">
        <w:t>dürf</w:t>
      </w:r>
      <w:r w:rsidR="00257BB4">
        <w:t>en</w:t>
      </w:r>
      <w:r w:rsidR="006A1FC8">
        <w:t>“, fordert</w:t>
      </w:r>
      <w:r w:rsidR="00D931F4">
        <w:t>e</w:t>
      </w:r>
      <w:r w:rsidR="006A1FC8">
        <w:t xml:space="preserve"> Ber</w:t>
      </w:r>
      <w:r w:rsidR="008629D5">
        <w:t>n</w:t>
      </w:r>
      <w:r w:rsidR="006A1FC8">
        <w:t>hard</w:t>
      </w:r>
      <w:r w:rsidR="00257BB4">
        <w:t xml:space="preserve">.  </w:t>
      </w:r>
    </w:p>
    <w:p w14:paraId="3B863021" w14:textId="77777777" w:rsidR="00257BB4" w:rsidRDefault="00257BB4" w:rsidP="00297DD3">
      <w:pPr>
        <w:spacing w:line="360" w:lineRule="auto"/>
        <w:ind w:right="1418"/>
      </w:pPr>
      <w:r>
        <w:t> </w:t>
      </w:r>
    </w:p>
    <w:p w14:paraId="25F12580" w14:textId="08191866" w:rsidR="00257BB4" w:rsidRPr="006A1FC8" w:rsidRDefault="00257BB4" w:rsidP="00297DD3">
      <w:pPr>
        <w:spacing w:line="360" w:lineRule="auto"/>
        <w:ind w:right="1418"/>
        <w:rPr>
          <w:b/>
          <w:bCs/>
        </w:rPr>
      </w:pPr>
      <w:r w:rsidRPr="006A1FC8">
        <w:rPr>
          <w:b/>
          <w:bCs/>
        </w:rPr>
        <w:t>Energiewende bietet Potenzial für die Werkzeugmaschinenindustrie</w:t>
      </w:r>
    </w:p>
    <w:p w14:paraId="7387AA50" w14:textId="2AA6B0B0" w:rsidR="00257BB4" w:rsidRDefault="006A1FC8" w:rsidP="00297DD3">
      <w:pPr>
        <w:spacing w:line="360" w:lineRule="auto"/>
        <w:ind w:right="1418"/>
      </w:pPr>
      <w:r>
        <w:t xml:space="preserve">Mit der angekündigten Energiewende rückt auch der Umbau der </w:t>
      </w:r>
      <w:r w:rsidR="00257BB4">
        <w:t xml:space="preserve">Energiewirtschaft in den Fokus. </w:t>
      </w:r>
      <w:r>
        <w:t>D</w:t>
      </w:r>
      <w:r w:rsidR="00257BB4">
        <w:t xml:space="preserve">er VDW </w:t>
      </w:r>
      <w:r>
        <w:t xml:space="preserve">lässt </w:t>
      </w:r>
      <w:r w:rsidR="00257BB4">
        <w:t>aktuell vo</w:t>
      </w:r>
      <w:r>
        <w:t xml:space="preserve">m Münchner Beratungsunternehmen </w:t>
      </w:r>
      <w:proofErr w:type="spellStart"/>
      <w:r w:rsidR="00257BB4">
        <w:t>Strategy</w:t>
      </w:r>
      <w:proofErr w:type="spellEnd"/>
      <w:r w:rsidR="00257BB4">
        <w:t xml:space="preserve"> Engineers</w:t>
      </w:r>
      <w:r>
        <w:t xml:space="preserve"> </w:t>
      </w:r>
      <w:r w:rsidR="00257BB4">
        <w:t>untersuchen, welches Potenzial für die Werkzeugmaschinenindustrie entsteh</w:t>
      </w:r>
      <w:r w:rsidR="00872011">
        <w:t>t</w:t>
      </w:r>
      <w:r w:rsidR="00257BB4">
        <w:t xml:space="preserve">. Die Studie ist in der Abschlussphase und wird den VDW-Mitgliedern in der zweiten Märzhälfte vorgestellt. </w:t>
      </w:r>
    </w:p>
    <w:p w14:paraId="369DBED1" w14:textId="77777777" w:rsidR="00257BB4" w:rsidRDefault="00257BB4" w:rsidP="00297DD3">
      <w:pPr>
        <w:spacing w:line="360" w:lineRule="auto"/>
        <w:ind w:right="1418"/>
      </w:pPr>
    </w:p>
    <w:p w14:paraId="45C8243F" w14:textId="77777777" w:rsidR="00D931F4" w:rsidRDefault="00633809" w:rsidP="00297DD3">
      <w:pPr>
        <w:spacing w:line="360" w:lineRule="auto"/>
        <w:ind w:right="1418"/>
      </w:pPr>
      <w:r>
        <w:t>Die meisten großen Industrielän</w:t>
      </w:r>
      <w:r w:rsidR="000B31F1">
        <w:t>d</w:t>
      </w:r>
      <w:r>
        <w:t xml:space="preserve">er haben </w:t>
      </w:r>
      <w:r w:rsidR="000B31F1">
        <w:t xml:space="preserve">ambitionierte </w:t>
      </w:r>
      <w:r>
        <w:t>Strategien zur Verringerung des CO</w:t>
      </w:r>
      <w:r w:rsidR="000B31F1" w:rsidRPr="000B31F1">
        <w:rPr>
          <w:vertAlign w:val="subscript"/>
        </w:rPr>
        <w:t>2</w:t>
      </w:r>
      <w:r w:rsidR="000B31F1">
        <w:t xml:space="preserve">-Ausstosses entwickelt. </w:t>
      </w:r>
      <w:r w:rsidR="00257BB4">
        <w:t xml:space="preserve">Zentrale Stellschraube ist dabei der Energiesektor, denn dort entstehen derzeit 25 Prozent der Emissionen. </w:t>
      </w:r>
      <w:r w:rsidR="00D931F4">
        <w:t>Z</w:t>
      </w:r>
      <w:r w:rsidR="00257BB4">
        <w:t>entrale Bausteine sind der Ausbau emissionsarmer Energien, Stromnetzausbau und Aufbau einer Wasserstoffwirtschaft</w:t>
      </w:r>
      <w:r w:rsidR="000B31F1">
        <w:t>. „</w:t>
      </w:r>
      <w:r w:rsidR="00257BB4">
        <w:t>Alles in allem ist die Umstellung auf emissionsfreie Energieträger eine globale Mammutaufgabe, für die jährlich weltweit Billionen Euro investiert werden müssen</w:t>
      </w:r>
      <w:r w:rsidR="000B31F1">
        <w:t>“, sagt</w:t>
      </w:r>
      <w:r w:rsidR="00D931F4">
        <w:t>e</w:t>
      </w:r>
      <w:r w:rsidR="000B31F1">
        <w:t xml:space="preserve"> Bernhard. </w:t>
      </w:r>
    </w:p>
    <w:p w14:paraId="299F9B20" w14:textId="77777777" w:rsidR="00D931F4" w:rsidRDefault="00D931F4" w:rsidP="00297DD3">
      <w:pPr>
        <w:spacing w:line="360" w:lineRule="auto"/>
        <w:ind w:right="1418"/>
      </w:pPr>
    </w:p>
    <w:p w14:paraId="4B900EAF" w14:textId="2A235C7B" w:rsidR="00257BB4" w:rsidRDefault="000B31F1" w:rsidP="00297DD3">
      <w:pPr>
        <w:spacing w:line="360" w:lineRule="auto"/>
        <w:ind w:right="1418"/>
      </w:pPr>
      <w:r>
        <w:t xml:space="preserve">Aufgrund </w:t>
      </w:r>
      <w:r w:rsidR="00257BB4">
        <w:t xml:space="preserve">niedriger Stückzahlen und hoher Lebensdauer </w:t>
      </w:r>
      <w:r>
        <w:t>stand die Energiewirtschaft bis</w:t>
      </w:r>
      <w:r w:rsidR="00872011">
        <w:t>lang</w:t>
      </w:r>
      <w:r>
        <w:t xml:space="preserve"> </w:t>
      </w:r>
      <w:r w:rsidR="00257BB4">
        <w:t>nicht im Fokus der Werkzeugmaschi</w:t>
      </w:r>
      <w:r w:rsidR="00872011">
        <w:t>nenhersteller</w:t>
      </w:r>
      <w:r w:rsidR="00257BB4">
        <w:t xml:space="preserve">. </w:t>
      </w:r>
      <w:r w:rsidR="00981579">
        <w:t>D</w:t>
      </w:r>
      <w:r w:rsidR="00257BB4">
        <w:t xml:space="preserve">ie höheren Investitionen </w:t>
      </w:r>
      <w:r w:rsidR="00981579">
        <w:t xml:space="preserve">führen jedoch nun zu </w:t>
      </w:r>
      <w:r w:rsidR="00257BB4">
        <w:t>steigende</w:t>
      </w:r>
      <w:r w:rsidR="00981579">
        <w:t>n</w:t>
      </w:r>
      <w:r w:rsidR="00257BB4">
        <w:t xml:space="preserve"> Stückzahlen</w:t>
      </w:r>
      <w:r w:rsidR="00981579">
        <w:t xml:space="preserve"> von m</w:t>
      </w:r>
      <w:r w:rsidR="00257BB4">
        <w:t>echanischen Komponenten für Windkraftanlagen (z.B. Getriebe, Nachführungssysteme und Großlager)</w:t>
      </w:r>
      <w:r w:rsidR="00981579">
        <w:t xml:space="preserve">, </w:t>
      </w:r>
      <w:r w:rsidR="00257BB4">
        <w:t>Verbrennungskraftmaschinen mit Relevanz für die Energiewende (Gasturbine)</w:t>
      </w:r>
      <w:r w:rsidR="00981579">
        <w:t xml:space="preserve">, </w:t>
      </w:r>
      <w:r w:rsidR="00257BB4">
        <w:t>übergreifende</w:t>
      </w:r>
      <w:r w:rsidR="00981579">
        <w:t>n</w:t>
      </w:r>
      <w:r w:rsidR="00257BB4">
        <w:t xml:space="preserve"> mechanische</w:t>
      </w:r>
      <w:r w:rsidR="00981579">
        <w:t>n</w:t>
      </w:r>
      <w:r w:rsidR="00257BB4">
        <w:t xml:space="preserve"> Peripherie-Komponenten</w:t>
      </w:r>
      <w:r w:rsidR="00603321">
        <w:t>, zum Beispiel</w:t>
      </w:r>
      <w:r w:rsidR="00257BB4">
        <w:t xml:space="preserve"> im Bereich der Wärmepumpen zur Beheizung von Häusern (Generatoren, Kompressoren)</w:t>
      </w:r>
      <w:r w:rsidR="00981579">
        <w:t xml:space="preserve"> </w:t>
      </w:r>
      <w:r w:rsidR="00257BB4">
        <w:t xml:space="preserve">und perspektivisch Komponenten in der Wasserstofferzeugung (Elektrolyse) und -anwendung in mobilen und stationären Brennstoffzellen (Brennstoffzellensystem mit Stack sowie </w:t>
      </w:r>
      <w:r w:rsidR="00603321">
        <w:t>die</w:t>
      </w:r>
      <w:r w:rsidR="00257BB4">
        <w:t xml:space="preserve"> so genannte Balance-</w:t>
      </w:r>
      <w:proofErr w:type="spellStart"/>
      <w:r w:rsidR="00257BB4">
        <w:t>of</w:t>
      </w:r>
      <w:proofErr w:type="spellEnd"/>
      <w:r w:rsidR="00257BB4">
        <w:t>-Plant mit Kompressoren, Ventilen, Pumpen, etc.)</w:t>
      </w:r>
    </w:p>
    <w:p w14:paraId="70902B49" w14:textId="77777777" w:rsidR="00257BB4" w:rsidRDefault="00257BB4" w:rsidP="00297DD3">
      <w:pPr>
        <w:spacing w:line="360" w:lineRule="auto"/>
        <w:ind w:right="1418"/>
      </w:pPr>
    </w:p>
    <w:p w14:paraId="65D975F2" w14:textId="6A18B784" w:rsidR="00257BB4" w:rsidRDefault="00981579" w:rsidP="00297DD3">
      <w:pPr>
        <w:spacing w:line="360" w:lineRule="auto"/>
        <w:ind w:right="1418"/>
      </w:pPr>
      <w:r>
        <w:lastRenderedPageBreak/>
        <w:t>„</w:t>
      </w:r>
      <w:r w:rsidR="00257BB4">
        <w:t>Wie groß das Volumen in den einzelnen Bereichen sein wird, hängt vom Tempo der Transformation ab</w:t>
      </w:r>
      <w:r>
        <w:t>“, sagt</w:t>
      </w:r>
      <w:r w:rsidR="003B1817">
        <w:t>e</w:t>
      </w:r>
      <w:r>
        <w:t xml:space="preserve"> Bernhard abschließend</w:t>
      </w:r>
      <w:r w:rsidR="00257BB4">
        <w:t>. Bisher g</w:t>
      </w:r>
      <w:r>
        <w:t>e</w:t>
      </w:r>
      <w:r w:rsidR="00257BB4">
        <w:t>b</w:t>
      </w:r>
      <w:r>
        <w:t>e</w:t>
      </w:r>
      <w:r w:rsidR="00257BB4">
        <w:t xml:space="preserve"> es viele Absichtserklärungen. Nun m</w:t>
      </w:r>
      <w:r>
        <w:t>üsse</w:t>
      </w:r>
      <w:r w:rsidR="00257BB4">
        <w:t xml:space="preserve"> die Politik verlässliche Rahmenbedingungen für den Umbau schaffen, damit sich auch Unternehmen umorientieren könn</w:t>
      </w:r>
      <w:r>
        <w:t>t</w:t>
      </w:r>
      <w:r w:rsidR="00257BB4">
        <w:t>en, wenn sie hier Chancen sehen.</w:t>
      </w:r>
    </w:p>
    <w:p w14:paraId="5BE827D9" w14:textId="744D8792" w:rsidR="00297DD3" w:rsidRDefault="00297DD3" w:rsidP="00E4697C">
      <w:pPr>
        <w:ind w:right="1416"/>
      </w:pPr>
    </w:p>
    <w:p w14:paraId="5D56E0C7" w14:textId="33EEB0ED" w:rsidR="00297DD3" w:rsidRDefault="00297DD3" w:rsidP="00E4697C">
      <w:pPr>
        <w:ind w:right="1416"/>
      </w:pPr>
      <w:r>
        <w:t>BU</w:t>
      </w:r>
    </w:p>
    <w:p w14:paraId="67064073" w14:textId="30C23D3A" w:rsidR="00872011" w:rsidRDefault="00872011" w:rsidP="00E4697C">
      <w:pPr>
        <w:ind w:right="1416"/>
      </w:pPr>
      <w:r>
        <w:t>„Wir haben gute Chancen auf ein erfolgreiches Jahr 2022“, sagt Franz-Xaver Bernhard, Vorsitzender des VDW, anlässlich der Jahrespressekonferenz.</w:t>
      </w:r>
    </w:p>
    <w:p w14:paraId="54900843" w14:textId="77777777" w:rsidR="00297DD3" w:rsidRDefault="00297DD3" w:rsidP="00E4697C">
      <w:pPr>
        <w:ind w:right="1416"/>
      </w:pPr>
    </w:p>
    <w:p w14:paraId="628EAA71" w14:textId="64196EFA" w:rsidR="00257BB4" w:rsidRDefault="00257BB4" w:rsidP="00E4697C">
      <w:pPr>
        <w:ind w:right="1416"/>
      </w:pPr>
    </w:p>
    <w:p w14:paraId="68F29F98" w14:textId="77777777" w:rsidR="00297DD3" w:rsidRPr="00CB482F" w:rsidRDefault="00297DD3" w:rsidP="00297DD3">
      <w:pPr>
        <w:tabs>
          <w:tab w:val="left" w:pos="7654"/>
        </w:tabs>
        <w:spacing w:line="360" w:lineRule="auto"/>
        <w:ind w:right="1416"/>
        <w:rPr>
          <w:rFonts w:cs="Arial"/>
          <w:b/>
          <w:sz w:val="16"/>
          <w:szCs w:val="16"/>
        </w:rPr>
      </w:pPr>
      <w:r w:rsidRPr="00CB482F">
        <w:rPr>
          <w:rFonts w:cs="Arial"/>
          <w:b/>
          <w:sz w:val="16"/>
          <w:szCs w:val="16"/>
        </w:rPr>
        <w:t>Hintergrund</w:t>
      </w:r>
    </w:p>
    <w:p w14:paraId="3EE16D0D" w14:textId="77777777" w:rsidR="00297DD3" w:rsidRPr="00CB482F" w:rsidRDefault="00297DD3" w:rsidP="00297DD3">
      <w:pPr>
        <w:tabs>
          <w:tab w:val="left" w:pos="7654"/>
        </w:tabs>
        <w:spacing w:line="360" w:lineRule="auto"/>
        <w:ind w:right="1416"/>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Pr>
          <w:rFonts w:cs="Arial"/>
          <w:sz w:val="16"/>
          <w:szCs w:val="16"/>
        </w:rPr>
        <w:t>1</w:t>
      </w:r>
      <w:r w:rsidRPr="00CB482F">
        <w:rPr>
          <w:rFonts w:cs="Arial"/>
          <w:sz w:val="16"/>
          <w:szCs w:val="16"/>
        </w:rPr>
        <w:t xml:space="preserve"> produzierte die Branche mit durchschnittlich rd. </w:t>
      </w:r>
      <w:r>
        <w:rPr>
          <w:rFonts w:cs="Arial"/>
          <w:sz w:val="16"/>
          <w:szCs w:val="16"/>
        </w:rPr>
        <w:t>64</w:t>
      </w:r>
      <w:r w:rsidRPr="00CB482F">
        <w:rPr>
          <w:rFonts w:cs="Arial"/>
          <w:sz w:val="16"/>
          <w:szCs w:val="16"/>
        </w:rPr>
        <w:t>.</w:t>
      </w:r>
      <w:r>
        <w:rPr>
          <w:rFonts w:cs="Arial"/>
          <w:sz w:val="16"/>
          <w:szCs w:val="16"/>
        </w:rPr>
        <w:t>5</w:t>
      </w:r>
      <w:r w:rsidRPr="00CB482F">
        <w:rPr>
          <w:rFonts w:cs="Arial"/>
          <w:sz w:val="16"/>
          <w:szCs w:val="16"/>
        </w:rPr>
        <w:t>00 Beschäftigten (Betriebe mit mehr als 50 Mitarbeitern) Maschinen und Dienstleistungen im Wert von</w:t>
      </w:r>
      <w:r>
        <w:rPr>
          <w:rFonts w:cs="Arial"/>
          <w:sz w:val="16"/>
          <w:szCs w:val="16"/>
        </w:rPr>
        <w:t xml:space="preserve"> rund</w:t>
      </w:r>
      <w:r w:rsidRPr="00CB482F">
        <w:rPr>
          <w:rFonts w:cs="Arial"/>
          <w:sz w:val="16"/>
          <w:szCs w:val="16"/>
        </w:rPr>
        <w:t xml:space="preserve"> 12,</w:t>
      </w:r>
      <w:r>
        <w:rPr>
          <w:rFonts w:cs="Arial"/>
          <w:sz w:val="16"/>
          <w:szCs w:val="16"/>
        </w:rPr>
        <w:t>7</w:t>
      </w:r>
      <w:r w:rsidRPr="00CB482F">
        <w:rPr>
          <w:rFonts w:cs="Arial"/>
          <w:sz w:val="16"/>
          <w:szCs w:val="16"/>
        </w:rPr>
        <w:t xml:space="preserve"> Mrd. Euro.</w:t>
      </w:r>
    </w:p>
    <w:p w14:paraId="3EC3647B" w14:textId="4E849497" w:rsidR="00297DD3" w:rsidRDefault="00297DD3" w:rsidP="00E4697C">
      <w:pPr>
        <w:ind w:right="1416"/>
      </w:pPr>
    </w:p>
    <w:p w14:paraId="7ED3357B" w14:textId="216A6347" w:rsidR="00297DD3" w:rsidRDefault="00297DD3" w:rsidP="00297DD3">
      <w:pPr>
        <w:rPr>
          <w:rFonts w:cs="Arial"/>
        </w:rPr>
      </w:pPr>
      <w:r w:rsidRPr="00CB482F">
        <w:t xml:space="preserve">Diese Presseinformation erhalten Sie auch </w:t>
      </w:r>
      <w:r w:rsidRPr="00CB482F">
        <w:rPr>
          <w:rFonts w:cs="Arial"/>
        </w:rPr>
        <w:t xml:space="preserve">direkt unter </w:t>
      </w:r>
      <w:hyperlink r:id="rId6" w:history="1">
        <w:r w:rsidR="00B92756" w:rsidRPr="00F3090A">
          <w:rPr>
            <w:rStyle w:val="Hyperlink"/>
            <w:rFonts w:cs="Arial"/>
          </w:rPr>
          <w:t>https://vdw.de/presse-oeffentlichkeit/pressemitteilungen/</w:t>
        </w:r>
      </w:hyperlink>
    </w:p>
    <w:p w14:paraId="6BA5316C" w14:textId="77777777" w:rsidR="00B92756" w:rsidRPr="00CB482F" w:rsidRDefault="00B92756" w:rsidP="00297DD3"/>
    <w:p w14:paraId="07B7BA88" w14:textId="77777777" w:rsidR="00297DD3" w:rsidRPr="00CB482F" w:rsidRDefault="00297DD3" w:rsidP="00297DD3">
      <w:pPr>
        <w:spacing w:line="360" w:lineRule="auto"/>
        <w:ind w:right="1416"/>
      </w:pPr>
      <w:r w:rsidRPr="00CB482F">
        <w:t xml:space="preserve">Grafiken und Bilder finden Sie im Internet auch online unter </w:t>
      </w:r>
      <w:hyperlink r:id="rId7" w:history="1">
        <w:r w:rsidRPr="00CB482F">
          <w:rPr>
            <w:color w:val="0000FF" w:themeColor="hyperlink"/>
            <w:u w:val="single"/>
          </w:rPr>
          <w:t>www.vdw.de</w:t>
        </w:r>
      </w:hyperlink>
      <w:r w:rsidRPr="00CB482F">
        <w:t xml:space="preserve"> im Bereich Presse. Besuchen Sie den VDW auch in den Social-Media-Kanälen </w:t>
      </w:r>
    </w:p>
    <w:p w14:paraId="2E7B96D9" w14:textId="77777777" w:rsidR="00297DD3" w:rsidRPr="00CB482F" w:rsidRDefault="00297DD3" w:rsidP="00297DD3">
      <w:pPr>
        <w:spacing w:line="360" w:lineRule="auto"/>
        <w:ind w:right="1416"/>
      </w:pPr>
    </w:p>
    <w:p w14:paraId="5656D973" w14:textId="77777777" w:rsidR="00297DD3" w:rsidRPr="00CB482F" w:rsidRDefault="00297DD3" w:rsidP="00297DD3">
      <w:pPr>
        <w:spacing w:line="360" w:lineRule="auto"/>
        <w:ind w:right="1416"/>
      </w:pPr>
      <w:r w:rsidRPr="00CB482F">
        <w:rPr>
          <w:rFonts w:eastAsia="Calibri" w:cs="Arial"/>
          <w:i/>
          <w:noProof/>
          <w:color w:val="0070C0"/>
        </w:rPr>
        <w:drawing>
          <wp:inline distT="0" distB="0" distL="0" distR="0" wp14:anchorId="158F5344" wp14:editId="367A0E7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CE0E9B7" w14:textId="77777777" w:rsidR="00297DD3" w:rsidRPr="00CB482F" w:rsidRDefault="00297DD3" w:rsidP="00297DD3">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038A2FB2" wp14:editId="67547D2E">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3B73029F" w14:textId="77777777" w:rsidR="00297DD3" w:rsidRPr="00CB482F" w:rsidRDefault="00297DD3" w:rsidP="00297DD3">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2F532C6C" wp14:editId="24DBF57E">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4638723E" w14:textId="77777777" w:rsidR="00297DD3" w:rsidRDefault="00297DD3" w:rsidP="00297DD3">
      <w:pPr>
        <w:autoSpaceDE w:val="0"/>
        <w:autoSpaceDN w:val="0"/>
        <w:adjustRightInd w:val="0"/>
        <w:spacing w:line="240" w:lineRule="auto"/>
      </w:pPr>
      <w:r w:rsidRPr="00CB482F">
        <w:rPr>
          <w:rFonts w:ascii="Effra" w:hAnsi="Effra"/>
          <w:noProof/>
        </w:rPr>
        <w:drawing>
          <wp:inline distT="0" distB="0" distL="0" distR="0" wp14:anchorId="2565967A" wp14:editId="454A8689">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7E837E40" w14:textId="77777777" w:rsidR="00297DD3" w:rsidRDefault="00297DD3" w:rsidP="00297DD3"/>
    <w:p w14:paraId="4F454896" w14:textId="77777777" w:rsidR="00297DD3" w:rsidRDefault="00297DD3" w:rsidP="00E4697C">
      <w:pPr>
        <w:ind w:right="1416"/>
      </w:pPr>
    </w:p>
    <w:sectPr w:rsidR="00297DD3"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3109F2"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5C5C0075"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D13F48">
            <w:t>Pressemeldung zur Jahrespressekonferenz</w:t>
          </w:r>
          <w:r w:rsidR="00002F73">
            <w:t>, Februar</w:t>
          </w:r>
          <w:r w:rsidR="00D13F48">
            <w:t xml:space="preserve">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02F73"/>
    <w:rsid w:val="0001192F"/>
    <w:rsid w:val="00096F5D"/>
    <w:rsid w:val="000B31F1"/>
    <w:rsid w:val="000D1379"/>
    <w:rsid w:val="000D6B28"/>
    <w:rsid w:val="0010603D"/>
    <w:rsid w:val="00146D7A"/>
    <w:rsid w:val="00154AE6"/>
    <w:rsid w:val="001835F7"/>
    <w:rsid w:val="001A0A28"/>
    <w:rsid w:val="001D220A"/>
    <w:rsid w:val="00205F78"/>
    <w:rsid w:val="00236A5F"/>
    <w:rsid w:val="00257BB4"/>
    <w:rsid w:val="00297DD3"/>
    <w:rsid w:val="003109F2"/>
    <w:rsid w:val="00315548"/>
    <w:rsid w:val="003B1817"/>
    <w:rsid w:val="00401FC4"/>
    <w:rsid w:val="00410882"/>
    <w:rsid w:val="00416510"/>
    <w:rsid w:val="0042443D"/>
    <w:rsid w:val="0043362F"/>
    <w:rsid w:val="00436BDF"/>
    <w:rsid w:val="0045618F"/>
    <w:rsid w:val="004632AB"/>
    <w:rsid w:val="004B02D3"/>
    <w:rsid w:val="004E5BAC"/>
    <w:rsid w:val="0050117F"/>
    <w:rsid w:val="0052444D"/>
    <w:rsid w:val="005643B0"/>
    <w:rsid w:val="005D39CC"/>
    <w:rsid w:val="005F1468"/>
    <w:rsid w:val="00603321"/>
    <w:rsid w:val="00620630"/>
    <w:rsid w:val="006221AC"/>
    <w:rsid w:val="00633809"/>
    <w:rsid w:val="0063546C"/>
    <w:rsid w:val="006A1FC8"/>
    <w:rsid w:val="006A33ED"/>
    <w:rsid w:val="0070554D"/>
    <w:rsid w:val="007669ED"/>
    <w:rsid w:val="00777458"/>
    <w:rsid w:val="0079017C"/>
    <w:rsid w:val="00791ECB"/>
    <w:rsid w:val="00792D91"/>
    <w:rsid w:val="00792F66"/>
    <w:rsid w:val="00794D1D"/>
    <w:rsid w:val="007A6DF8"/>
    <w:rsid w:val="007B5D73"/>
    <w:rsid w:val="007B6219"/>
    <w:rsid w:val="00805A53"/>
    <w:rsid w:val="008318F3"/>
    <w:rsid w:val="008629D5"/>
    <w:rsid w:val="00872011"/>
    <w:rsid w:val="00887BA2"/>
    <w:rsid w:val="008A2BE6"/>
    <w:rsid w:val="008D261B"/>
    <w:rsid w:val="009170BD"/>
    <w:rsid w:val="00921790"/>
    <w:rsid w:val="00981579"/>
    <w:rsid w:val="00A11F02"/>
    <w:rsid w:val="00A7099C"/>
    <w:rsid w:val="00AE0619"/>
    <w:rsid w:val="00B042BE"/>
    <w:rsid w:val="00B1593E"/>
    <w:rsid w:val="00B15BB7"/>
    <w:rsid w:val="00B92756"/>
    <w:rsid w:val="00BB4380"/>
    <w:rsid w:val="00BC6836"/>
    <w:rsid w:val="00BF72D7"/>
    <w:rsid w:val="00C710CB"/>
    <w:rsid w:val="00CB5C29"/>
    <w:rsid w:val="00CD1A41"/>
    <w:rsid w:val="00CF4129"/>
    <w:rsid w:val="00D13F48"/>
    <w:rsid w:val="00D931F4"/>
    <w:rsid w:val="00DB3C0E"/>
    <w:rsid w:val="00DC17E9"/>
    <w:rsid w:val="00DD20E4"/>
    <w:rsid w:val="00E3021E"/>
    <w:rsid w:val="00E4697C"/>
    <w:rsid w:val="00E95E86"/>
    <w:rsid w:val="00EF0F35"/>
    <w:rsid w:val="00F01E07"/>
    <w:rsid w:val="00F241B3"/>
    <w:rsid w:val="00F32587"/>
    <w:rsid w:val="00F7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3109F2"/>
    <w:rPr>
      <w:rFonts w:ascii="Arial" w:hAnsi="Arial"/>
      <w:kern w:val="4"/>
      <w:sz w:val="22"/>
      <w:lang w:val="de-DE" w:eastAsia="de-DE"/>
    </w:rPr>
  </w:style>
  <w:style w:type="character" w:styleId="Hyperlink">
    <w:name w:val="Hyperlink"/>
    <w:basedOn w:val="Absatz-Standardschriftart"/>
    <w:unhideWhenUsed/>
    <w:rsid w:val="00B92756"/>
    <w:rPr>
      <w:color w:val="0000FF" w:themeColor="hyperlink"/>
      <w:u w:val="single"/>
    </w:rPr>
  </w:style>
  <w:style w:type="character" w:styleId="NichtaufgelsteErwhnung">
    <w:name w:val="Unresolved Mention"/>
    <w:basedOn w:val="Absatz-Standardschriftart"/>
    <w:uiPriority w:val="99"/>
    <w:semiHidden/>
    <w:unhideWhenUsed/>
    <w:rsid w:val="00B92756"/>
    <w:rPr>
      <w:color w:val="605E5C"/>
      <w:shd w:val="clear" w:color="auto" w:fill="E1DFDD"/>
    </w:rPr>
  </w:style>
  <w:style w:type="character" w:styleId="BesuchterLink">
    <w:name w:val="FollowedHyperlink"/>
    <w:basedOn w:val="Absatz-Standardschriftart"/>
    <w:semiHidden/>
    <w:unhideWhenUsed/>
    <w:rsid w:val="00805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10335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8</cp:revision>
  <cp:lastPrinted>2022-02-14T13:01:00Z</cp:lastPrinted>
  <dcterms:created xsi:type="dcterms:W3CDTF">2022-02-11T16:29:00Z</dcterms:created>
  <dcterms:modified xsi:type="dcterms:W3CDTF">2022-02-14T13:01:00Z</dcterms:modified>
</cp:coreProperties>
</file>