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Default="00AA21A5" w:rsidP="00AA21A5">
      <w:pPr>
        <w:spacing w:after="0" w:line="240" w:lineRule="auto"/>
        <w:rPr>
          <w:rFonts w:ascii="Century Gothic" w:hAnsi="Century Gothic"/>
        </w:rPr>
      </w:pPr>
    </w:p>
    <w:p w14:paraId="1E3CFA91" w14:textId="77777777" w:rsidR="00AA21A5" w:rsidRDefault="00AA21A5" w:rsidP="00AA21A5">
      <w:pPr>
        <w:spacing w:after="0" w:line="240" w:lineRule="auto"/>
        <w:rPr>
          <w:rFonts w:ascii="Century Gothic" w:hAnsi="Century Gothic"/>
        </w:rPr>
      </w:pPr>
    </w:p>
    <w:p w14:paraId="246557C2" w14:textId="77777777" w:rsidR="00AA21A5" w:rsidRDefault="00AA21A5" w:rsidP="00AA21A5">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5EE4611A" w14:textId="77777777" w:rsidR="00AA21A5" w:rsidRDefault="00AA21A5" w:rsidP="00AA21A5">
      <w:pPr>
        <w:rPr>
          <w:rFonts w:ascii="Century Gothic" w:hAnsi="Century Gothic"/>
        </w:rPr>
      </w:pPr>
    </w:p>
    <w:p w14:paraId="5002D000" w14:textId="3614839D" w:rsidR="006F05B1" w:rsidRPr="006900E1" w:rsidRDefault="006F05B1" w:rsidP="006F05B1">
      <w:pPr>
        <w:rPr>
          <w:rFonts w:ascii="Century Gothic" w:hAnsi="Century Gothic"/>
          <w:b/>
          <w:sz w:val="28"/>
          <w:szCs w:val="28"/>
        </w:rPr>
      </w:pPr>
      <w:r w:rsidRPr="006900E1">
        <w:rPr>
          <w:rFonts w:ascii="Century Gothic" w:hAnsi="Century Gothic"/>
          <w:b/>
          <w:sz w:val="28"/>
          <w:szCs w:val="28"/>
        </w:rPr>
        <w:t>Amorti</w:t>
      </w:r>
      <w:r w:rsidR="00277167">
        <w:rPr>
          <w:rFonts w:ascii="Century Gothic" w:hAnsi="Century Gothic"/>
          <w:b/>
          <w:sz w:val="28"/>
          <w:szCs w:val="28"/>
        </w:rPr>
        <w:t>sierung</w:t>
      </w:r>
      <w:r w:rsidR="002A0680">
        <w:rPr>
          <w:rFonts w:ascii="Century Gothic" w:hAnsi="Century Gothic"/>
          <w:b/>
          <w:sz w:val="28"/>
          <w:szCs w:val="28"/>
        </w:rPr>
        <w:t xml:space="preserve"> </w:t>
      </w:r>
      <w:r w:rsidR="00277167">
        <w:rPr>
          <w:rFonts w:ascii="Century Gothic" w:hAnsi="Century Gothic"/>
          <w:b/>
          <w:sz w:val="28"/>
          <w:szCs w:val="28"/>
        </w:rPr>
        <w:t xml:space="preserve">von </w:t>
      </w:r>
      <w:r w:rsidRPr="006900E1">
        <w:rPr>
          <w:rFonts w:ascii="Century Gothic" w:hAnsi="Century Gothic"/>
          <w:b/>
          <w:sz w:val="28"/>
          <w:szCs w:val="28"/>
        </w:rPr>
        <w:t xml:space="preserve">Investitionen spürbar </w:t>
      </w:r>
      <w:r w:rsidR="00277167">
        <w:rPr>
          <w:rFonts w:ascii="Century Gothic" w:hAnsi="Century Gothic"/>
          <w:b/>
          <w:sz w:val="28"/>
          <w:szCs w:val="28"/>
        </w:rPr>
        <w:t>verkürzen</w:t>
      </w:r>
    </w:p>
    <w:p w14:paraId="2BB016DA" w14:textId="77777777" w:rsidR="006F05B1" w:rsidRPr="00277167" w:rsidRDefault="006F05B1" w:rsidP="006F05B1">
      <w:pPr>
        <w:rPr>
          <w:rFonts w:ascii="Century Gothic" w:hAnsi="Century Gothic"/>
          <w:b/>
        </w:rPr>
      </w:pPr>
      <w:r w:rsidRPr="00277167">
        <w:rPr>
          <w:rFonts w:ascii="Century Gothic" w:hAnsi="Century Gothic"/>
          <w:b/>
        </w:rPr>
        <w:t>Fachmesse METAV 2022 gibt Anregungen für energieeffiziente Metallbearbeitung</w:t>
      </w:r>
    </w:p>
    <w:p w14:paraId="4070BC11" w14:textId="77777777" w:rsidR="006F05B1" w:rsidRDefault="006F05B1" w:rsidP="00AA21A5">
      <w:pPr>
        <w:spacing w:line="360" w:lineRule="auto"/>
        <w:rPr>
          <w:rFonts w:ascii="Century Gothic" w:hAnsi="Century Gothic"/>
          <w:b/>
          <w:i/>
          <w:iCs/>
        </w:rPr>
      </w:pPr>
    </w:p>
    <w:p w14:paraId="42ED9497" w14:textId="4C09E36B" w:rsidR="006F05B1" w:rsidRPr="00D53E46" w:rsidRDefault="006F05B1" w:rsidP="006F05B1">
      <w:pPr>
        <w:spacing w:line="360" w:lineRule="auto"/>
        <w:rPr>
          <w:rFonts w:ascii="Century Gothic" w:hAnsi="Century Gothic"/>
        </w:rPr>
      </w:pPr>
      <w:r w:rsidRPr="009B21E0">
        <w:rPr>
          <w:rFonts w:ascii="Century Gothic" w:hAnsi="Century Gothic"/>
          <w:b/>
          <w:i/>
          <w:iCs/>
        </w:rPr>
        <w:t>Frankfurt am Main</w:t>
      </w:r>
      <w:r w:rsidRPr="00D53E46">
        <w:rPr>
          <w:rFonts w:ascii="Century Gothic" w:hAnsi="Century Gothic"/>
          <w:b/>
          <w:bCs/>
          <w:i/>
          <w:iCs/>
        </w:rPr>
        <w:t>, 20. April 2022</w:t>
      </w:r>
      <w:r w:rsidR="00277167">
        <w:rPr>
          <w:rFonts w:ascii="Century Gothic" w:hAnsi="Century Gothic"/>
          <w:i/>
          <w:iCs/>
        </w:rPr>
        <w:t>.</w:t>
      </w:r>
      <w:r w:rsidRPr="009B21E0">
        <w:rPr>
          <w:rFonts w:ascii="Century Gothic" w:hAnsi="Century Gothic"/>
          <w:i/>
          <w:iCs/>
        </w:rPr>
        <w:t xml:space="preserve"> – </w:t>
      </w:r>
      <w:r w:rsidRPr="00D53E46">
        <w:rPr>
          <w:rFonts w:ascii="Century Gothic" w:hAnsi="Century Gothic"/>
        </w:rPr>
        <w:t xml:space="preserve">Wenn Deutschland seine Klimaschutzziele erreichen will, muss das verarbeitende Gewerbe mitziehen. Fachmessen wie die METAV 2022 in Düsseldorf (21. bis 24. Juni) sind Schaufenster für Innovationen, die Einblicke in die moderne Fertigungstechnik gewähren. Sie dokumentieren, dass die Technik für eine klimaschonende Produktion verfügbar ist. Wer jetzt </w:t>
      </w:r>
      <w:proofErr w:type="gramStart"/>
      <w:r w:rsidRPr="00D53E46">
        <w:rPr>
          <w:rFonts w:ascii="Century Gothic" w:hAnsi="Century Gothic"/>
        </w:rPr>
        <w:t>investieren</w:t>
      </w:r>
      <w:proofErr w:type="gramEnd"/>
      <w:r w:rsidRPr="00D53E46">
        <w:rPr>
          <w:rFonts w:ascii="Century Gothic" w:hAnsi="Century Gothic"/>
        </w:rPr>
        <w:t xml:space="preserve"> und sich auf den Weg zu einer klimaneutralen Fertigung machen will, kann nicht nur von den Vorzügen neuer Maschinenkonzepte profitieren. Er hat zudem Aussicht, durch sofort greifende Energieeinsparungen und mit Hilfe von Fördermitteln die Amortis</w:t>
      </w:r>
      <w:r w:rsidR="00277167">
        <w:rPr>
          <w:rFonts w:ascii="Century Gothic" w:hAnsi="Century Gothic"/>
        </w:rPr>
        <w:t>ierung</w:t>
      </w:r>
      <w:r w:rsidRPr="00D53E46">
        <w:rPr>
          <w:rFonts w:ascii="Century Gothic" w:hAnsi="Century Gothic"/>
        </w:rPr>
        <w:t xml:space="preserve"> von Investitionen in neue Maschinen und Anlagen auf ein Minimum zu reduzieren.</w:t>
      </w:r>
    </w:p>
    <w:p w14:paraId="2F6A31A9" w14:textId="3266615B" w:rsidR="006F05B1" w:rsidRPr="006900E1" w:rsidRDefault="006F05B1" w:rsidP="006F05B1">
      <w:pPr>
        <w:spacing w:line="360" w:lineRule="auto"/>
        <w:rPr>
          <w:rFonts w:ascii="Century Gothic" w:hAnsi="Century Gothic"/>
        </w:rPr>
      </w:pPr>
      <w:r w:rsidRPr="006900E1">
        <w:rPr>
          <w:rFonts w:ascii="Century Gothic" w:hAnsi="Century Gothic"/>
        </w:rPr>
        <w:t>Rund ein Drittel des Energieverbrauchs in Deutschland wird der Herstellung von Produkten zugerechnet. Die Internationale Energieagentur (IEA) sieht in der Energieeffizienz den mit Abstand stärksten Hebel zur CO</w:t>
      </w:r>
      <w:r w:rsidRPr="006900E1">
        <w:rPr>
          <w:rFonts w:ascii="Century Gothic" w:hAnsi="Century Gothic"/>
          <w:vertAlign w:val="subscript"/>
        </w:rPr>
        <w:t>2</w:t>
      </w:r>
      <w:r w:rsidRPr="006900E1">
        <w:rPr>
          <w:rFonts w:ascii="Century Gothic" w:hAnsi="Century Gothic"/>
        </w:rPr>
        <w:t xml:space="preserve">-Vermeidung. Wer das Verhältnis von Produktivität und Energieverbrauch verbessern will, muss allerdings auch wissen, wie und </w:t>
      </w:r>
      <w:r>
        <w:rPr>
          <w:rFonts w:ascii="Century Gothic" w:hAnsi="Century Gothic"/>
        </w:rPr>
        <w:t>an welcher Stelle</w:t>
      </w:r>
      <w:r w:rsidRPr="006900E1">
        <w:rPr>
          <w:rFonts w:ascii="Century Gothic" w:hAnsi="Century Gothic"/>
        </w:rPr>
        <w:t xml:space="preserve"> wie viel Energie benötigt und verbraucht wird. </w:t>
      </w:r>
      <w:r w:rsidRPr="006900E1">
        <w:rPr>
          <w:rFonts w:ascii="Century Gothic" w:hAnsi="Century Gothic"/>
        </w:rPr>
        <w:lastRenderedPageBreak/>
        <w:t>Beispiel Maschine: Untersuchungen der RWTH Aachen belegen, dass in einer Werkzeugmaschine die Nebenaggregate für Kühlschmierstoffversorgung (KSS), Kühlung und Hydraulik die größten Energieverbraucher sind. Zusammen mit der Hauptspindel zeichnen sie für mehr als zwei Drittel des Energieverbrauchs einer Werkzeugmaschine verantwortlich, stellten die Wissenschaftler</w:t>
      </w:r>
      <w:r>
        <w:rPr>
          <w:rFonts w:ascii="Century Gothic" w:hAnsi="Century Gothic"/>
        </w:rPr>
        <w:t>innen und Wissenschaftler</w:t>
      </w:r>
      <w:r w:rsidRPr="006900E1">
        <w:rPr>
          <w:rFonts w:ascii="Century Gothic" w:hAnsi="Century Gothic"/>
        </w:rPr>
        <w:t xml:space="preserve"> fest. </w:t>
      </w:r>
      <w:r>
        <w:rPr>
          <w:rFonts w:ascii="Century Gothic" w:hAnsi="Century Gothic"/>
        </w:rPr>
        <w:t xml:space="preserve">Produzierende Unternehmen erzielen </w:t>
      </w:r>
      <w:r w:rsidRPr="006900E1">
        <w:rPr>
          <w:rFonts w:ascii="Century Gothic" w:hAnsi="Century Gothic"/>
        </w:rPr>
        <w:t xml:space="preserve">Verbesserungen </w:t>
      </w:r>
      <w:r>
        <w:rPr>
          <w:rFonts w:ascii="Century Gothic" w:hAnsi="Century Gothic"/>
        </w:rPr>
        <w:t xml:space="preserve">nicht nur durch </w:t>
      </w:r>
      <w:r w:rsidRPr="006900E1">
        <w:rPr>
          <w:rFonts w:ascii="Century Gothic" w:hAnsi="Century Gothic"/>
        </w:rPr>
        <w:t>Umbauten an Bestandsanlagen</w:t>
      </w:r>
      <w:r>
        <w:rPr>
          <w:rFonts w:ascii="Century Gothic" w:hAnsi="Century Gothic"/>
        </w:rPr>
        <w:t xml:space="preserve">, sondern auch durch neue Anlagen </w:t>
      </w:r>
      <w:r w:rsidRPr="006900E1">
        <w:rPr>
          <w:rFonts w:ascii="Century Gothic" w:hAnsi="Century Gothic"/>
        </w:rPr>
        <w:t xml:space="preserve">mit energieeffizienten Einzelkomponenten. </w:t>
      </w:r>
    </w:p>
    <w:p w14:paraId="23D9E4EE" w14:textId="77777777" w:rsidR="006F05B1" w:rsidRDefault="006F05B1" w:rsidP="006F05B1">
      <w:pPr>
        <w:spacing w:line="360" w:lineRule="auto"/>
        <w:rPr>
          <w:rFonts w:ascii="Century Gothic" w:hAnsi="Century Gothic"/>
          <w:b/>
        </w:rPr>
      </w:pPr>
    </w:p>
    <w:p w14:paraId="17FFDAD7" w14:textId="3C9B10A2" w:rsidR="006F05B1" w:rsidRPr="006900E1" w:rsidRDefault="006F05B1" w:rsidP="006F05B1">
      <w:pPr>
        <w:spacing w:line="360" w:lineRule="auto"/>
        <w:rPr>
          <w:rFonts w:ascii="Century Gothic" w:hAnsi="Century Gothic"/>
          <w:b/>
        </w:rPr>
      </w:pPr>
      <w:r w:rsidRPr="006900E1">
        <w:rPr>
          <w:rFonts w:ascii="Century Gothic" w:hAnsi="Century Gothic"/>
          <w:b/>
        </w:rPr>
        <w:t>Sparsamkeit als Wettbewerbsvorteil</w:t>
      </w:r>
    </w:p>
    <w:p w14:paraId="4D7B37A8" w14:textId="08DB02D8" w:rsidR="006F05B1" w:rsidRPr="006900E1" w:rsidRDefault="006F05B1" w:rsidP="006F05B1">
      <w:pPr>
        <w:spacing w:line="360" w:lineRule="auto"/>
        <w:rPr>
          <w:rFonts w:ascii="Century Gothic" w:hAnsi="Century Gothic"/>
        </w:rPr>
      </w:pPr>
      <w:r>
        <w:rPr>
          <w:rFonts w:ascii="Century Gothic" w:hAnsi="Century Gothic"/>
        </w:rPr>
        <w:t xml:space="preserve">Die </w:t>
      </w:r>
      <w:proofErr w:type="spellStart"/>
      <w:r>
        <w:rPr>
          <w:rFonts w:ascii="Century Gothic" w:hAnsi="Century Gothic"/>
        </w:rPr>
        <w:t>Datron</w:t>
      </w:r>
      <w:proofErr w:type="spellEnd"/>
      <w:r>
        <w:rPr>
          <w:rFonts w:ascii="Century Gothic" w:hAnsi="Century Gothic"/>
        </w:rPr>
        <w:t xml:space="preserve"> AG im hessischen Mühltal ist einer der </w:t>
      </w:r>
      <w:r w:rsidRPr="006900E1">
        <w:rPr>
          <w:rFonts w:ascii="Century Gothic" w:hAnsi="Century Gothic"/>
        </w:rPr>
        <w:t>METAV-Ausstell</w:t>
      </w:r>
      <w:r>
        <w:rPr>
          <w:rFonts w:ascii="Century Gothic" w:hAnsi="Century Gothic"/>
        </w:rPr>
        <w:t>er</w:t>
      </w:r>
      <w:r w:rsidRPr="006900E1">
        <w:rPr>
          <w:rFonts w:ascii="Century Gothic" w:hAnsi="Century Gothic"/>
        </w:rPr>
        <w:t>, die bei der Entwicklung neuer Maschinen neben Präzision und Leistung frühzeitig einen Fokus auf den Energieverbrauch richteten. „Energieeffizienz wird künftig eines der wichtigsten Verkaufsargumente</w:t>
      </w:r>
      <w:r>
        <w:rPr>
          <w:rFonts w:ascii="Century Gothic" w:hAnsi="Century Gothic"/>
        </w:rPr>
        <w:t xml:space="preserve"> sein</w:t>
      </w:r>
      <w:r w:rsidRPr="006900E1">
        <w:rPr>
          <w:rFonts w:ascii="Century Gothic" w:hAnsi="Century Gothic"/>
        </w:rPr>
        <w:t>“, ist Sven Kreusel, Bereichsleiter Vertrieb weltweit</w:t>
      </w:r>
      <w:r w:rsidR="00F11618">
        <w:rPr>
          <w:rFonts w:ascii="Century Gothic" w:hAnsi="Century Gothic"/>
        </w:rPr>
        <w:t>,</w:t>
      </w:r>
      <w:r w:rsidRPr="006900E1">
        <w:rPr>
          <w:rFonts w:ascii="Century Gothic" w:hAnsi="Century Gothic"/>
        </w:rPr>
        <w:t xml:space="preserve"> überzeugt. Inzwischen kommen etwa </w:t>
      </w:r>
      <w:proofErr w:type="spellStart"/>
      <w:r w:rsidRPr="006900E1">
        <w:rPr>
          <w:rFonts w:ascii="Century Gothic" w:hAnsi="Century Gothic"/>
        </w:rPr>
        <w:t>Datron</w:t>
      </w:r>
      <w:proofErr w:type="spellEnd"/>
      <w:r w:rsidRPr="006900E1">
        <w:rPr>
          <w:rFonts w:ascii="Century Gothic" w:hAnsi="Century Gothic"/>
        </w:rPr>
        <w:t xml:space="preserve"> Hochfrequenz-(HF) Spindeln bei einer Präzision im Mikrometerbereich und Drehzahlen bis 60.000 1/min mit einer Leistung von maximal 8 kW aus, was </w:t>
      </w:r>
      <w:r>
        <w:rPr>
          <w:rFonts w:ascii="Century Gothic" w:hAnsi="Century Gothic"/>
        </w:rPr>
        <w:t xml:space="preserve">etwa einem Drittel des </w:t>
      </w:r>
      <w:r w:rsidRPr="006900E1">
        <w:rPr>
          <w:rFonts w:ascii="Century Gothic" w:hAnsi="Century Gothic"/>
        </w:rPr>
        <w:t>Energiebedarf</w:t>
      </w:r>
      <w:r>
        <w:rPr>
          <w:rFonts w:ascii="Century Gothic" w:hAnsi="Century Gothic"/>
        </w:rPr>
        <w:t>s</w:t>
      </w:r>
      <w:r w:rsidRPr="006900E1">
        <w:rPr>
          <w:rFonts w:ascii="Century Gothic" w:hAnsi="Century Gothic"/>
        </w:rPr>
        <w:t xml:space="preserve"> </w:t>
      </w:r>
      <w:r>
        <w:rPr>
          <w:rFonts w:ascii="Century Gothic" w:hAnsi="Century Gothic"/>
        </w:rPr>
        <w:t xml:space="preserve">von </w:t>
      </w:r>
      <w:r w:rsidRPr="006900E1">
        <w:rPr>
          <w:rFonts w:ascii="Century Gothic" w:hAnsi="Century Gothic"/>
        </w:rPr>
        <w:t xml:space="preserve">Spindeln konventioneller Bauart </w:t>
      </w:r>
      <w:r>
        <w:rPr>
          <w:rFonts w:ascii="Century Gothic" w:hAnsi="Century Gothic"/>
        </w:rPr>
        <w:t>entspricht</w:t>
      </w:r>
      <w:r w:rsidRPr="006900E1">
        <w:rPr>
          <w:rFonts w:ascii="Century Gothic" w:hAnsi="Century Gothic"/>
        </w:rPr>
        <w:t xml:space="preserve">. Darüber hinaus machten sich die </w:t>
      </w:r>
      <w:r>
        <w:rPr>
          <w:rFonts w:ascii="Century Gothic" w:hAnsi="Century Gothic"/>
        </w:rPr>
        <w:t xml:space="preserve">Ingenieurinnen und </w:t>
      </w:r>
      <w:r w:rsidRPr="006900E1">
        <w:rPr>
          <w:rFonts w:ascii="Century Gothic" w:hAnsi="Century Gothic"/>
        </w:rPr>
        <w:t xml:space="preserve">Ingenieure des Unternehmens daran, die </w:t>
      </w:r>
      <w:r w:rsidRPr="00D53E46">
        <w:rPr>
          <w:rFonts w:ascii="Century Gothic" w:hAnsi="Century Gothic"/>
          <w:i/>
          <w:iCs/>
        </w:rPr>
        <w:t>Energiefresser</w:t>
      </w:r>
      <w:r w:rsidRPr="006900E1">
        <w:rPr>
          <w:rFonts w:ascii="Century Gothic" w:hAnsi="Century Gothic"/>
        </w:rPr>
        <w:t xml:space="preserve"> in der Peripherie der Werkzeugmaschinen zu eliminieren. Dazu gehörten laut Kreusel vor allem der Verzicht auf Hydraulik, die durch Vakuumtechnik er</w:t>
      </w:r>
      <w:r w:rsidR="00F11618">
        <w:rPr>
          <w:rFonts w:ascii="Century Gothic" w:hAnsi="Century Gothic"/>
        </w:rPr>
        <w:t>setzt</w:t>
      </w:r>
      <w:r w:rsidRPr="006900E1">
        <w:rPr>
          <w:rFonts w:ascii="Century Gothic" w:hAnsi="Century Gothic"/>
        </w:rPr>
        <w:t xml:space="preserve"> wird, </w:t>
      </w:r>
      <w:r w:rsidR="00F11618">
        <w:rPr>
          <w:rFonts w:ascii="Century Gothic" w:hAnsi="Century Gothic"/>
        </w:rPr>
        <w:t>und</w:t>
      </w:r>
      <w:r w:rsidRPr="006900E1">
        <w:rPr>
          <w:rFonts w:ascii="Century Gothic" w:hAnsi="Century Gothic"/>
        </w:rPr>
        <w:t xml:space="preserve"> der Einsatz </w:t>
      </w:r>
      <w:r w:rsidR="00F11618">
        <w:rPr>
          <w:rFonts w:ascii="Century Gothic" w:hAnsi="Century Gothic"/>
        </w:rPr>
        <w:t xml:space="preserve">einer </w:t>
      </w:r>
      <w:r w:rsidRPr="006900E1">
        <w:rPr>
          <w:rFonts w:ascii="Century Gothic" w:hAnsi="Century Gothic"/>
        </w:rPr>
        <w:t>effiziente</w:t>
      </w:r>
      <w:r>
        <w:rPr>
          <w:rFonts w:ascii="Century Gothic" w:hAnsi="Century Gothic"/>
        </w:rPr>
        <w:t>n</w:t>
      </w:r>
      <w:r w:rsidRPr="006900E1">
        <w:rPr>
          <w:rFonts w:ascii="Century Gothic" w:hAnsi="Century Gothic"/>
        </w:rPr>
        <w:t xml:space="preserve"> Minimalmengenkühlschmierung</w:t>
      </w:r>
      <w:r w:rsidR="00F11618">
        <w:rPr>
          <w:rFonts w:ascii="Century Gothic" w:hAnsi="Century Gothic"/>
        </w:rPr>
        <w:t>, die im</w:t>
      </w:r>
      <w:r w:rsidR="00F11618" w:rsidRPr="006900E1">
        <w:rPr>
          <w:rFonts w:ascii="Century Gothic" w:hAnsi="Century Gothic"/>
        </w:rPr>
        <w:t xml:space="preserve"> Gegensatz zu</w:t>
      </w:r>
      <w:r w:rsidR="00F11618">
        <w:rPr>
          <w:rFonts w:ascii="Century Gothic" w:hAnsi="Century Gothic"/>
        </w:rPr>
        <w:t xml:space="preserve"> herkömmlichen Kühlschmierstoff-Anlagen weniger </w:t>
      </w:r>
      <w:r w:rsidR="00F11618" w:rsidRPr="006900E1">
        <w:rPr>
          <w:rFonts w:ascii="Century Gothic" w:hAnsi="Century Gothic"/>
        </w:rPr>
        <w:t>kostenintensi</w:t>
      </w:r>
      <w:r w:rsidR="00F11618">
        <w:rPr>
          <w:rFonts w:ascii="Century Gothic" w:hAnsi="Century Gothic"/>
        </w:rPr>
        <w:t>v</w:t>
      </w:r>
      <w:r w:rsidR="00F11618" w:rsidRPr="006900E1">
        <w:rPr>
          <w:rFonts w:ascii="Century Gothic" w:hAnsi="Century Gothic"/>
        </w:rPr>
        <w:t xml:space="preserve"> und platzrauben</w:t>
      </w:r>
      <w:r w:rsidR="00F11618">
        <w:rPr>
          <w:rFonts w:ascii="Century Gothic" w:hAnsi="Century Gothic"/>
        </w:rPr>
        <w:t>d ist.</w:t>
      </w:r>
      <w:r w:rsidR="00F11618" w:rsidRPr="006900E1">
        <w:rPr>
          <w:rFonts w:ascii="Century Gothic" w:hAnsi="Century Gothic"/>
        </w:rPr>
        <w:t xml:space="preserve"> </w:t>
      </w:r>
    </w:p>
    <w:p w14:paraId="0B1301CD" w14:textId="758F0738" w:rsidR="006F05B1" w:rsidRPr="006900E1" w:rsidRDefault="006F05B1" w:rsidP="006F05B1">
      <w:pPr>
        <w:spacing w:line="360" w:lineRule="auto"/>
        <w:rPr>
          <w:rFonts w:ascii="Century Gothic" w:hAnsi="Century Gothic"/>
        </w:rPr>
      </w:pPr>
      <w:r w:rsidRPr="006900E1">
        <w:rPr>
          <w:rFonts w:ascii="Century Gothic" w:hAnsi="Century Gothic"/>
        </w:rPr>
        <w:t>Noch sei es notwendig, das Interesse von Anwenderinnen und Anwendern gezielt auf das Thema Energieeffizienz zu lenken, so Kreusel, weil die Potenziale oft unterschätzt oder nicht gesehen w</w:t>
      </w:r>
      <w:r>
        <w:rPr>
          <w:rFonts w:ascii="Century Gothic" w:hAnsi="Century Gothic"/>
        </w:rPr>
        <w:t>ü</w:t>
      </w:r>
      <w:r w:rsidRPr="006900E1">
        <w:rPr>
          <w:rFonts w:ascii="Century Gothic" w:hAnsi="Century Gothic"/>
        </w:rPr>
        <w:t xml:space="preserve">rden. Zwar gebe es eine junge Unternehmergeneration, die den Klimaschutzgedanken schon sehr verinnerlicht habe und Fragen dazu voranstellt. In der Regel </w:t>
      </w:r>
      <w:r>
        <w:rPr>
          <w:rFonts w:ascii="Century Gothic" w:hAnsi="Century Gothic"/>
        </w:rPr>
        <w:t xml:space="preserve">aber </w:t>
      </w:r>
      <w:r w:rsidRPr="006900E1">
        <w:rPr>
          <w:rFonts w:ascii="Century Gothic" w:hAnsi="Century Gothic"/>
        </w:rPr>
        <w:t xml:space="preserve">käme das Thema bei </w:t>
      </w:r>
      <w:r>
        <w:rPr>
          <w:rFonts w:ascii="Century Gothic" w:hAnsi="Century Gothic"/>
        </w:rPr>
        <w:t>Interessierten</w:t>
      </w:r>
      <w:r w:rsidRPr="006900E1">
        <w:rPr>
          <w:rFonts w:ascii="Century Gothic" w:hAnsi="Century Gothic"/>
        </w:rPr>
        <w:t xml:space="preserve"> </w:t>
      </w:r>
      <w:r>
        <w:rPr>
          <w:rFonts w:ascii="Century Gothic" w:hAnsi="Century Gothic"/>
        </w:rPr>
        <w:t xml:space="preserve">sowie Kundinnen und </w:t>
      </w:r>
      <w:r w:rsidRPr="006900E1">
        <w:rPr>
          <w:rFonts w:ascii="Century Gothic" w:hAnsi="Century Gothic"/>
        </w:rPr>
        <w:t xml:space="preserve">Kunden meist zuletzt zur Sprache, wenn es um Anschaffungskosten und ROI (Return on </w:t>
      </w:r>
      <w:proofErr w:type="spellStart"/>
      <w:r w:rsidRPr="006900E1">
        <w:rPr>
          <w:rFonts w:ascii="Century Gothic" w:hAnsi="Century Gothic"/>
        </w:rPr>
        <w:t>Invest</w:t>
      </w:r>
      <w:proofErr w:type="spellEnd"/>
      <w:r w:rsidRPr="006900E1">
        <w:rPr>
          <w:rFonts w:ascii="Century Gothic" w:hAnsi="Century Gothic"/>
        </w:rPr>
        <w:t xml:space="preserve">) geht. „Wenn wir dann aufzeigen können, dass man je nach Anwendung zwischen </w:t>
      </w:r>
      <w:r w:rsidRPr="006900E1">
        <w:rPr>
          <w:rFonts w:ascii="Century Gothic" w:hAnsi="Century Gothic"/>
        </w:rPr>
        <w:lastRenderedPageBreak/>
        <w:t>15.000 und 22.000 Euro an Energiekosten pro Jahr sparen kann, ist der Überraschungseffekt oft groß“, so der Vertriebschef.</w:t>
      </w:r>
    </w:p>
    <w:p w14:paraId="4A854403" w14:textId="77777777" w:rsidR="006F05B1" w:rsidRDefault="006F05B1" w:rsidP="006F05B1">
      <w:pPr>
        <w:spacing w:line="360" w:lineRule="auto"/>
        <w:rPr>
          <w:rFonts w:ascii="Century Gothic" w:hAnsi="Century Gothic"/>
          <w:b/>
        </w:rPr>
      </w:pPr>
    </w:p>
    <w:p w14:paraId="7338B9CF" w14:textId="79303C46" w:rsidR="006F05B1" w:rsidRPr="006900E1" w:rsidRDefault="006F05B1" w:rsidP="006F05B1">
      <w:pPr>
        <w:spacing w:line="360" w:lineRule="auto"/>
        <w:rPr>
          <w:rFonts w:ascii="Century Gothic" w:hAnsi="Century Gothic"/>
          <w:b/>
        </w:rPr>
      </w:pPr>
      <w:r w:rsidRPr="006900E1">
        <w:rPr>
          <w:rFonts w:ascii="Century Gothic" w:hAnsi="Century Gothic"/>
          <w:b/>
        </w:rPr>
        <w:t>Umfassende Förderung</w:t>
      </w:r>
      <w:r>
        <w:rPr>
          <w:rFonts w:ascii="Century Gothic" w:hAnsi="Century Gothic"/>
          <w:b/>
        </w:rPr>
        <w:t xml:space="preserve"> zu wenig genutzt</w:t>
      </w:r>
    </w:p>
    <w:p w14:paraId="623D3E12" w14:textId="4B4EA50E" w:rsidR="006F05B1" w:rsidRPr="006900E1" w:rsidRDefault="006F05B1" w:rsidP="006F05B1">
      <w:pPr>
        <w:spacing w:line="360" w:lineRule="auto"/>
        <w:rPr>
          <w:rFonts w:ascii="Century Gothic" w:hAnsi="Century Gothic"/>
        </w:rPr>
      </w:pPr>
      <w:r w:rsidRPr="006900E1">
        <w:rPr>
          <w:rFonts w:ascii="Century Gothic" w:hAnsi="Century Gothic"/>
        </w:rPr>
        <w:t xml:space="preserve">„Alle von uns vorgeschlagenen Energieeffizienzmaßnahmen sind wirtschaftlich“, betont </w:t>
      </w:r>
      <w:r>
        <w:rPr>
          <w:rFonts w:ascii="Century Gothic" w:hAnsi="Century Gothic"/>
        </w:rPr>
        <w:t xml:space="preserve">auch </w:t>
      </w:r>
      <w:r w:rsidRPr="006900E1">
        <w:rPr>
          <w:rFonts w:ascii="Century Gothic" w:hAnsi="Century Gothic"/>
        </w:rPr>
        <w:t xml:space="preserve">Dr. Philipp Schraml, Geschäftsführer des in Bensheim bei Darmstadt ansässigen Beratungsunternehmens ETA-Solutions. Das liege nicht nur an den möglichen Kosteneinsparungen, sondern auch an den angebotenen Fördermaßnahmen, in denen sich die politische Relevanz des Themas gegenwärtig widerspiegelt. Ob nun die Bundesförderung für Energieaudits oder das Programm für Energie- und Ressourceneffizienz in der Wirtschaft, regionale oder europäische Fördertöpfe genutzt werden können </w:t>
      </w:r>
      <w:r>
        <w:rPr>
          <w:rFonts w:ascii="Century Gothic" w:hAnsi="Century Gothic"/>
        </w:rPr>
        <w:t xml:space="preserve">– </w:t>
      </w:r>
      <w:r w:rsidRPr="006900E1">
        <w:rPr>
          <w:rFonts w:ascii="Century Gothic" w:hAnsi="Century Gothic"/>
        </w:rPr>
        <w:t xml:space="preserve">im Prinzip sei für jede Maßnahme und jedes Budget etwas dabei, sagt Schraml. Selbst die Beratung ist förderfähig: „Wir arbeiten praktisch kostenneutral“, so der Experte, „denn wir schaffen es immer, selbst mit kleineren und nicht-investiven Maßnahmen sowohl die eigenen Kosten als auch zusätzlich Geld einzusparen.“ </w:t>
      </w:r>
    </w:p>
    <w:p w14:paraId="62832CC0" w14:textId="1ECBAE18" w:rsidR="006F05B1" w:rsidRPr="006900E1" w:rsidRDefault="006F05B1" w:rsidP="006F05B1">
      <w:pPr>
        <w:spacing w:line="360" w:lineRule="auto"/>
        <w:rPr>
          <w:rFonts w:ascii="Century Gothic" w:hAnsi="Century Gothic"/>
        </w:rPr>
      </w:pPr>
      <w:r w:rsidRPr="006900E1">
        <w:rPr>
          <w:rFonts w:ascii="Century Gothic" w:hAnsi="Century Gothic"/>
        </w:rPr>
        <w:t>Umso erstaunlicher mag es da erscheinen, dass nach Erkenntnissen des Instituts für Energieeffizienz in der Produktion (EEP) der Universität Stuttgart bislang nur jedes vierte antragberechtigte Unternehmen die in Frage kommenden Fördermittel  in Anspruch nimmt. Die Ursachen vermuten Wirtschaftsexpert</w:t>
      </w:r>
      <w:r>
        <w:rPr>
          <w:rFonts w:ascii="Century Gothic" w:hAnsi="Century Gothic"/>
        </w:rPr>
        <w:t>inn</w:t>
      </w:r>
      <w:r w:rsidRPr="006900E1">
        <w:rPr>
          <w:rFonts w:ascii="Century Gothic" w:hAnsi="Century Gothic"/>
        </w:rPr>
        <w:t xml:space="preserve">en </w:t>
      </w:r>
      <w:r>
        <w:rPr>
          <w:rFonts w:ascii="Century Gothic" w:hAnsi="Century Gothic"/>
        </w:rPr>
        <w:t xml:space="preserve">und -experten </w:t>
      </w:r>
      <w:r w:rsidRPr="006900E1">
        <w:rPr>
          <w:rFonts w:ascii="Century Gothic" w:hAnsi="Century Gothic"/>
        </w:rPr>
        <w:t xml:space="preserve">sowohl in der mangelnden Transparenz der Förderangebote als auch in der Erwartung eines komplizierten Antragsszenarios. </w:t>
      </w:r>
    </w:p>
    <w:p w14:paraId="5D58B763" w14:textId="40286C9B" w:rsidR="006F05B1" w:rsidRPr="006900E1" w:rsidRDefault="006F05B1" w:rsidP="006F05B1">
      <w:pPr>
        <w:spacing w:line="360" w:lineRule="auto"/>
        <w:rPr>
          <w:rFonts w:ascii="Century Gothic" w:hAnsi="Century Gothic"/>
        </w:rPr>
      </w:pPr>
      <w:r w:rsidRPr="006900E1">
        <w:rPr>
          <w:rFonts w:ascii="Century Gothic" w:hAnsi="Century Gothic"/>
        </w:rPr>
        <w:t xml:space="preserve">Schraml sieht ein anderes Problem: „Wir stellen fest, dass es in vielen, vor allem kleineren Unternehmen schlicht an der spezifischen Kompetenz und am fachlichen Personal fehlt, um sinnvolle Energieeffizienzmaßnahmen zu erkennen und anzugehen.“ Nur selten werden vor- und nachgelagerte Prozesse analysiert, es gäbe keine Vernetzung unterschiedlicher Gewerke, es werde zu wenig in Richtung Energieeffizienz beraten. Erschwerend komme hinzu, dass auch </w:t>
      </w:r>
      <w:r>
        <w:rPr>
          <w:rFonts w:ascii="Century Gothic" w:hAnsi="Century Gothic"/>
        </w:rPr>
        <w:t xml:space="preserve">die Erfassung von </w:t>
      </w:r>
      <w:r w:rsidRPr="006900E1">
        <w:rPr>
          <w:rFonts w:ascii="Century Gothic" w:hAnsi="Century Gothic"/>
        </w:rPr>
        <w:t>Energiedaten zunächst einmal Kosten verursacht. Für ETA</w:t>
      </w:r>
      <w:r>
        <w:rPr>
          <w:rFonts w:ascii="Century Gothic" w:hAnsi="Century Gothic"/>
        </w:rPr>
        <w:t>-</w:t>
      </w:r>
      <w:r w:rsidRPr="006900E1">
        <w:rPr>
          <w:rFonts w:ascii="Century Gothic" w:hAnsi="Century Gothic"/>
        </w:rPr>
        <w:t xml:space="preserve">Solutions sei es daher immer der erste </w:t>
      </w:r>
      <w:r w:rsidRPr="006900E1">
        <w:rPr>
          <w:rFonts w:ascii="Century Gothic" w:hAnsi="Century Gothic"/>
        </w:rPr>
        <w:lastRenderedPageBreak/>
        <w:t xml:space="preserve">Schritt, Transparenz und ein Verständnis für den Systemzusammenhang herzustellen. Erst dann werden – gemeinsam mit dem Unternehmen – Vorschläge für Maßnahmen erarbeitet. In einem dritten Schritt geht es darum, Energie, die in die Produktion geht, mehrfach zu nutzen, sei es für Heizung und Wärme oder </w:t>
      </w:r>
      <w:r>
        <w:rPr>
          <w:rFonts w:ascii="Century Gothic" w:hAnsi="Century Gothic"/>
        </w:rPr>
        <w:t xml:space="preserve">für </w:t>
      </w:r>
      <w:r w:rsidRPr="006900E1">
        <w:rPr>
          <w:rFonts w:ascii="Century Gothic" w:hAnsi="Century Gothic"/>
        </w:rPr>
        <w:t>eine effiziente Gebäude- und Anlagenkühlung. Am wirtschaftlichsten ließen sich Energieeffizienzmaßnahmen bei Neubeschaffungen, Retrofits oder anderen Projekten realisieren, wenn diese von Anfang an mitgedacht w</w:t>
      </w:r>
      <w:r>
        <w:rPr>
          <w:rFonts w:ascii="Century Gothic" w:hAnsi="Century Gothic"/>
        </w:rPr>
        <w:t>ü</w:t>
      </w:r>
      <w:r w:rsidRPr="006900E1">
        <w:rPr>
          <w:rFonts w:ascii="Century Gothic" w:hAnsi="Century Gothic"/>
        </w:rPr>
        <w:t xml:space="preserve">rden. Für Förderanträge sei eine valide Abschätzung der zu erzielenden Energieeinsparung Voraussetzung. </w:t>
      </w:r>
    </w:p>
    <w:p w14:paraId="3D78BCB5" w14:textId="77777777" w:rsidR="006F05B1" w:rsidRDefault="006F05B1" w:rsidP="006F05B1">
      <w:pPr>
        <w:spacing w:line="360" w:lineRule="auto"/>
        <w:rPr>
          <w:rFonts w:ascii="Century Gothic" w:hAnsi="Century Gothic"/>
          <w:b/>
        </w:rPr>
      </w:pPr>
    </w:p>
    <w:p w14:paraId="2F80318C" w14:textId="0B14F146" w:rsidR="006F05B1" w:rsidRPr="006900E1" w:rsidRDefault="006F05B1" w:rsidP="006F05B1">
      <w:pPr>
        <w:spacing w:line="360" w:lineRule="auto"/>
        <w:rPr>
          <w:rFonts w:ascii="Century Gothic" w:hAnsi="Century Gothic"/>
          <w:b/>
        </w:rPr>
      </w:pPr>
      <w:r w:rsidRPr="006900E1">
        <w:rPr>
          <w:rFonts w:ascii="Century Gothic" w:hAnsi="Century Gothic"/>
          <w:b/>
        </w:rPr>
        <w:t>Maßnahmensteckbriefe aus der Forschung</w:t>
      </w:r>
    </w:p>
    <w:p w14:paraId="63F9A6DE" w14:textId="72F6209A" w:rsidR="006F05B1" w:rsidRPr="006900E1" w:rsidRDefault="006F05B1" w:rsidP="006F05B1">
      <w:pPr>
        <w:spacing w:line="360" w:lineRule="auto"/>
        <w:rPr>
          <w:rFonts w:ascii="Century Gothic" w:hAnsi="Century Gothic"/>
        </w:rPr>
      </w:pPr>
      <w:r w:rsidRPr="006900E1">
        <w:rPr>
          <w:rFonts w:ascii="Century Gothic" w:hAnsi="Century Gothic"/>
        </w:rPr>
        <w:t>Transparenz herzustellen und Denkanstöße zu geben, ist auch das Ziel praxisnaher Forschungsprojekte. ETA-Solutions ist eine Ausgründung des Instituts für Produktionsmanagement, Technologie und Werkzeugmaschinen (PTW) der TU Darmstadt. Hier entstand 2016 die interdisziplinäre Forschungsgruppe ETA (Energietechnologien und Anwendungen in der Produktion) mit dem Forschungslabor ETA-Fabrik. Das Bundeswirtschaftsministerium finanzierte das Projekt ETA-Transfer. In Zusammenarbeit mit namhaften Unternehmen wie Trumpf und Bosch-Rexroth wurden im Rahmen dieses Projekts konkrete Energieeffizienzmaßnahmen in ihren Auswirkungen analysiert und dokumentiert. In so</w:t>
      </w:r>
      <w:r w:rsidR="008C51E1">
        <w:rPr>
          <w:rFonts w:ascii="Century Gothic" w:hAnsi="Century Gothic"/>
        </w:rPr>
        <w:t xml:space="preserve"> </w:t>
      </w:r>
      <w:r w:rsidRPr="006900E1">
        <w:rPr>
          <w:rFonts w:ascii="Century Gothic" w:hAnsi="Century Gothic"/>
        </w:rPr>
        <w:t xml:space="preserve">genannten Maßnahmensteckbriefen zu Themen wie der Schaltschrank-, Maschinen- und Anlagenkühlung oder der Wärmerückgewinnung </w:t>
      </w:r>
      <w:r w:rsidRPr="00486843">
        <w:rPr>
          <w:rFonts w:ascii="Century Gothic" w:hAnsi="Century Gothic"/>
        </w:rPr>
        <w:t xml:space="preserve">wurden Einsparungen von 25 bis 85 Prozent nachgewiesen. Die Steckbriefe sind </w:t>
      </w:r>
      <w:r w:rsidRPr="00E30353">
        <w:rPr>
          <w:rFonts w:ascii="Century Gothic" w:hAnsi="Century Gothic"/>
        </w:rPr>
        <w:t xml:space="preserve">unter </w:t>
      </w:r>
      <w:hyperlink r:id="rId7" w:history="1">
        <w:r w:rsidR="009B21E0" w:rsidRPr="003B26A9">
          <w:rPr>
            <w:rStyle w:val="Hyperlink"/>
            <w:rFonts w:ascii="Century Gothic" w:hAnsi="Century Gothic"/>
          </w:rPr>
          <w:t>https://eta-transfer.de</w:t>
        </w:r>
      </w:hyperlink>
      <w:r w:rsidR="009B21E0">
        <w:rPr>
          <w:rFonts w:ascii="Century Gothic" w:hAnsi="Century Gothic"/>
        </w:rPr>
        <w:t xml:space="preserve"> </w:t>
      </w:r>
      <w:r w:rsidRPr="00E30353">
        <w:rPr>
          <w:rFonts w:ascii="Century Gothic" w:hAnsi="Century Gothic"/>
        </w:rPr>
        <w:t>online zugänglich und beschreiben jeweils die einzelnen Maßnahmen, beziffern die nachgewiesene Einsparung und Amortisationszeit und geben zusätzlich an, welche Fördermöglichkeiten dafür in Anspruch genommen werden können.</w:t>
      </w:r>
    </w:p>
    <w:p w14:paraId="7B8378C6" w14:textId="77777777" w:rsidR="006F05B1" w:rsidRPr="006900E1" w:rsidRDefault="006F05B1" w:rsidP="006F05B1">
      <w:pPr>
        <w:spacing w:line="360" w:lineRule="auto"/>
        <w:rPr>
          <w:rFonts w:ascii="Century Gothic" w:hAnsi="Century Gothic"/>
          <w:b/>
        </w:rPr>
      </w:pPr>
      <w:r w:rsidRPr="006900E1">
        <w:rPr>
          <w:rFonts w:ascii="Century Gothic" w:hAnsi="Century Gothic"/>
        </w:rPr>
        <w:t>Ob Wissenschaftler</w:t>
      </w:r>
      <w:r>
        <w:rPr>
          <w:rFonts w:ascii="Century Gothic" w:hAnsi="Century Gothic"/>
        </w:rPr>
        <w:t>innen und Wissenschaftler</w:t>
      </w:r>
      <w:r w:rsidRPr="006900E1">
        <w:rPr>
          <w:rFonts w:ascii="Century Gothic" w:hAnsi="Century Gothic"/>
        </w:rPr>
        <w:t xml:space="preserve"> oder Facharbeite</w:t>
      </w:r>
      <w:r>
        <w:rPr>
          <w:rFonts w:ascii="Century Gothic" w:hAnsi="Century Gothic"/>
        </w:rPr>
        <w:t>nde</w:t>
      </w:r>
      <w:r w:rsidRPr="006900E1">
        <w:rPr>
          <w:rFonts w:ascii="Century Gothic" w:hAnsi="Century Gothic"/>
        </w:rPr>
        <w:t xml:space="preserve"> </w:t>
      </w:r>
      <w:r>
        <w:rPr>
          <w:rFonts w:ascii="Century Gothic" w:hAnsi="Century Gothic"/>
        </w:rPr>
        <w:t>–</w:t>
      </w:r>
      <w:r w:rsidRPr="006900E1">
        <w:rPr>
          <w:rFonts w:ascii="Century Gothic" w:hAnsi="Century Gothic"/>
        </w:rPr>
        <w:t xml:space="preserve"> bei ETA-Transfer zeigten sich viele Beteiligte am Ende überrascht, wie sich selbst mit kleinen und nicht-investiven Veränderungen erstaunliche Effekte erzielen lassen. Es </w:t>
      </w:r>
      <w:r>
        <w:rPr>
          <w:rFonts w:ascii="Century Gothic" w:hAnsi="Century Gothic"/>
        </w:rPr>
        <w:t>reichte mitunter aus</w:t>
      </w:r>
      <w:r w:rsidRPr="006900E1">
        <w:rPr>
          <w:rFonts w:ascii="Century Gothic" w:hAnsi="Century Gothic"/>
        </w:rPr>
        <w:t xml:space="preserve">, </w:t>
      </w:r>
      <w:r>
        <w:rPr>
          <w:rFonts w:ascii="Century Gothic" w:hAnsi="Century Gothic"/>
        </w:rPr>
        <w:t xml:space="preserve">selbst </w:t>
      </w:r>
      <w:r w:rsidRPr="006900E1">
        <w:rPr>
          <w:rFonts w:ascii="Century Gothic" w:hAnsi="Century Gothic"/>
        </w:rPr>
        <w:t xml:space="preserve">ein kleines Gerät auszutauschen oder die Maschine in Bearbeitungspausen konsequent abzuschalten, um signifikante Energieeinsparungen zu erzielen. Zu einer </w:t>
      </w:r>
      <w:r w:rsidRPr="006900E1">
        <w:rPr>
          <w:rFonts w:ascii="Century Gothic" w:hAnsi="Century Gothic"/>
        </w:rPr>
        <w:lastRenderedPageBreak/>
        <w:t xml:space="preserve">Steigerung der Energieeffizienz gehören eben nicht nur entsprechende Maschinen und Komponenten, sondern auch ein organisatorisch energiebewusster Maschineneinsatz. Es lohnt sich, Mitarbeiterinnen und Mitarbeiter dafür zu sensibilisieren, dass die Maschine bei Schichtende oder über das Wochenende abzuschalten ist, vorausgesetzt, dass sich dies mit dem Hochlaufverhalten der Maschine vereinbaren lässt. In Zukunft sollten Maschinen dies allerdings selbst organisieren können. Dann schaltet sich die Maschine samt Nebenaggregaten über die Anlagensteuerung automatisiert in den Energiesparmodus, in Bearbeitungspausen ebenso wie zum Beispiel bei einem von der Beladeeinheit gemeldeten Teilemangel. </w:t>
      </w:r>
    </w:p>
    <w:p w14:paraId="118751C8" w14:textId="77777777" w:rsidR="006F05B1" w:rsidRDefault="006F05B1" w:rsidP="006F05B1">
      <w:pPr>
        <w:spacing w:line="360" w:lineRule="auto"/>
        <w:rPr>
          <w:rFonts w:ascii="Century Gothic" w:hAnsi="Century Gothic"/>
          <w:b/>
        </w:rPr>
      </w:pPr>
    </w:p>
    <w:p w14:paraId="7DBD33DE" w14:textId="5BEC4105" w:rsidR="006F05B1" w:rsidRPr="006900E1" w:rsidRDefault="006F05B1" w:rsidP="006F05B1">
      <w:pPr>
        <w:spacing w:line="360" w:lineRule="auto"/>
        <w:rPr>
          <w:rFonts w:ascii="Century Gothic" w:hAnsi="Century Gothic"/>
          <w:b/>
        </w:rPr>
      </w:pPr>
      <w:r w:rsidRPr="006900E1">
        <w:rPr>
          <w:rFonts w:ascii="Century Gothic" w:hAnsi="Century Gothic"/>
          <w:b/>
        </w:rPr>
        <w:t>Eine Frage der Unternehmenskultur</w:t>
      </w:r>
    </w:p>
    <w:p w14:paraId="5E7BDA3C" w14:textId="6D605201" w:rsidR="006F05B1" w:rsidRDefault="006F05B1" w:rsidP="006F05B1">
      <w:pPr>
        <w:spacing w:line="360" w:lineRule="auto"/>
        <w:rPr>
          <w:rFonts w:ascii="Century Gothic" w:hAnsi="Century Gothic"/>
        </w:rPr>
      </w:pPr>
      <w:r w:rsidRPr="006900E1">
        <w:rPr>
          <w:rFonts w:ascii="Century Gothic" w:hAnsi="Century Gothic"/>
        </w:rPr>
        <w:t>Zu ETA-Solutions kommen viele Unternehmen, die der Energieauditpflicht unterliegen, sagt Schraml. Darüber hinaus gäbe es aber auch kleine und mittelständische Unternehmen, die aus eigener Überzeugung „etwas machen wollen“ oder sogar den Weg zu einer CO</w:t>
      </w:r>
      <w:r w:rsidRPr="006900E1">
        <w:rPr>
          <w:rFonts w:ascii="Century Gothic" w:hAnsi="Century Gothic"/>
          <w:vertAlign w:val="subscript"/>
        </w:rPr>
        <w:t>2</w:t>
      </w:r>
      <w:r w:rsidRPr="006900E1">
        <w:rPr>
          <w:rFonts w:ascii="Century Gothic" w:hAnsi="Century Gothic"/>
        </w:rPr>
        <w:t>-neutralen Fabrik anstreben. „Das sind uns die Liebsten“, gesteht der Experte. Der Weg zu mehr Energieeffizienz und einer CO</w:t>
      </w:r>
      <w:r w:rsidRPr="006900E1">
        <w:rPr>
          <w:rFonts w:ascii="Century Gothic" w:hAnsi="Century Gothic"/>
          <w:vertAlign w:val="subscript"/>
        </w:rPr>
        <w:t>2</w:t>
      </w:r>
      <w:r w:rsidRPr="006900E1">
        <w:rPr>
          <w:rFonts w:ascii="Century Gothic" w:hAnsi="Century Gothic"/>
        </w:rPr>
        <w:t xml:space="preserve">-neutralen Produktion sei aber keineswegs abhängig von der Unternehmensgröße, sondern eher von der Unternehmensstruktur und </w:t>
      </w:r>
      <w:r>
        <w:rPr>
          <w:rFonts w:ascii="Century Gothic" w:hAnsi="Century Gothic"/>
        </w:rPr>
        <w:t>-</w:t>
      </w:r>
      <w:r w:rsidRPr="006900E1">
        <w:rPr>
          <w:rFonts w:ascii="Century Gothic" w:hAnsi="Century Gothic"/>
        </w:rPr>
        <w:t xml:space="preserve">kultur. Es zeige sich demnach schnell, ob das Thema konzeptionell eingebettet ist in eine solide Nachhaltigkeitsstrategie, die auch </w:t>
      </w:r>
      <w:r w:rsidR="008C51E1">
        <w:rPr>
          <w:rFonts w:ascii="Century Gothic" w:hAnsi="Century Gothic"/>
        </w:rPr>
        <w:t>die Beschäftigten</w:t>
      </w:r>
      <w:r w:rsidRPr="006900E1">
        <w:rPr>
          <w:rFonts w:ascii="Century Gothic" w:hAnsi="Century Gothic"/>
        </w:rPr>
        <w:t xml:space="preserve"> mitnimmt. Dann genießt der Weg zur CO</w:t>
      </w:r>
      <w:r w:rsidRPr="006900E1">
        <w:rPr>
          <w:rFonts w:ascii="Century Gothic" w:hAnsi="Century Gothic"/>
          <w:vertAlign w:val="subscript"/>
        </w:rPr>
        <w:t>2</w:t>
      </w:r>
      <w:r w:rsidRPr="006900E1">
        <w:rPr>
          <w:rFonts w:ascii="Century Gothic" w:hAnsi="Century Gothic"/>
        </w:rPr>
        <w:t xml:space="preserve">-Reduzierung oder gar zur klimaneutralen Fabrik in der Regel hohe Priorität in der Unternehmensleitung und werde als Beitrag zum Klimaschutz konsequent umgesetzt. </w:t>
      </w:r>
    </w:p>
    <w:p w14:paraId="78FFD7EA" w14:textId="1F261195" w:rsidR="006F05B1" w:rsidRDefault="006F05B1" w:rsidP="006F05B1">
      <w:pPr>
        <w:rPr>
          <w:rFonts w:ascii="Century Gothic" w:hAnsi="Century Gothic"/>
        </w:rPr>
      </w:pPr>
      <w:r>
        <w:rPr>
          <w:rFonts w:ascii="Century Gothic" w:hAnsi="Century Gothic"/>
        </w:rPr>
        <w:t>9.370 Zeichen</w:t>
      </w:r>
    </w:p>
    <w:p w14:paraId="0A0B17AF" w14:textId="77777777" w:rsidR="006F05B1" w:rsidRPr="00C1657B" w:rsidRDefault="006F05B1" w:rsidP="006F05B1">
      <w:pPr>
        <w:pStyle w:val="NurText"/>
        <w:spacing w:line="276" w:lineRule="auto"/>
        <w:rPr>
          <w:rFonts w:ascii="Century Gothic" w:hAnsi="Century Gothic"/>
          <w:i/>
          <w:iCs/>
          <w:sz w:val="22"/>
          <w:szCs w:val="22"/>
        </w:rPr>
      </w:pPr>
      <w:r w:rsidRPr="00C1657B">
        <w:rPr>
          <w:rFonts w:ascii="Century Gothic" w:hAnsi="Century Gothic"/>
          <w:i/>
          <w:iCs/>
          <w:sz w:val="22"/>
          <w:szCs w:val="22"/>
        </w:rPr>
        <w:t>Autorin: Cornelia Gewiehs, freie Journalistin, Rotenburg (Wümme)</w:t>
      </w:r>
    </w:p>
    <w:p w14:paraId="3B3D5711" w14:textId="77777777" w:rsidR="00D53E46" w:rsidRDefault="00D53E46" w:rsidP="00C1657B">
      <w:pPr>
        <w:ind w:right="990"/>
        <w:rPr>
          <w:rFonts w:ascii="Century Gothic" w:hAnsi="Century Gothic"/>
          <w:b/>
          <w:bCs/>
          <w:sz w:val="18"/>
          <w:szCs w:val="18"/>
        </w:rPr>
      </w:pPr>
    </w:p>
    <w:p w14:paraId="7F03DF6D" w14:textId="77777777" w:rsidR="00C1657B" w:rsidRPr="00D938B7" w:rsidRDefault="00C1657B" w:rsidP="00C1657B">
      <w:pPr>
        <w:ind w:right="990"/>
        <w:rPr>
          <w:rFonts w:ascii="Century Gothic" w:hAnsi="Century Gothic"/>
        </w:rPr>
      </w:pPr>
      <w:r w:rsidRPr="00D938B7">
        <w:rPr>
          <w:rFonts w:ascii="Century Gothic" w:hAnsi="Century Gothic"/>
          <w:b/>
          <w:bCs/>
          <w:sz w:val="18"/>
          <w:szCs w:val="18"/>
        </w:rPr>
        <w:t>Hintergrund</w:t>
      </w:r>
    </w:p>
    <w:p w14:paraId="529F65C3" w14:textId="77777777" w:rsidR="00C1657B" w:rsidRDefault="00C1657B" w:rsidP="00C1657B">
      <w:pPr>
        <w:ind w:right="990"/>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w:t>
      </w:r>
      <w:r>
        <w:rPr>
          <w:rFonts w:ascii="Century Gothic" w:hAnsi="Century Gothic"/>
          <w:sz w:val="18"/>
          <w:szCs w:val="18"/>
        </w:rPr>
        <w:lastRenderedPageBreak/>
        <w:t xml:space="preserve">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coronabedingt ausfallen und fand 2021 als Digitalveranstaltung statt.</w:t>
      </w:r>
    </w:p>
    <w:p w14:paraId="6B9C6A58" w14:textId="77777777" w:rsidR="006F05B1" w:rsidRDefault="006F05B1" w:rsidP="006F05B1">
      <w:pPr>
        <w:pStyle w:val="NurText"/>
        <w:spacing w:line="276" w:lineRule="auto"/>
        <w:rPr>
          <w:rFonts w:ascii="Century Gothic" w:hAnsi="Century Gothic"/>
          <w:b/>
          <w:sz w:val="22"/>
          <w:szCs w:val="22"/>
        </w:rPr>
      </w:pPr>
    </w:p>
    <w:p w14:paraId="7B2DAB19" w14:textId="685EF6D2" w:rsidR="006F05B1" w:rsidRPr="007D70AD" w:rsidRDefault="006F05B1" w:rsidP="006F05B1">
      <w:pPr>
        <w:pStyle w:val="NurText"/>
        <w:spacing w:line="276" w:lineRule="auto"/>
        <w:rPr>
          <w:rFonts w:ascii="Century Gothic" w:hAnsi="Century Gothic"/>
          <w:b/>
          <w:sz w:val="22"/>
          <w:szCs w:val="22"/>
        </w:rPr>
      </w:pPr>
      <w:r w:rsidRPr="007D70AD">
        <w:rPr>
          <w:rFonts w:ascii="Century Gothic" w:hAnsi="Century Gothic"/>
          <w:b/>
          <w:sz w:val="22"/>
          <w:szCs w:val="22"/>
        </w:rPr>
        <w:t>Ansprechpartner</w:t>
      </w:r>
      <w:r>
        <w:rPr>
          <w:rFonts w:ascii="Century Gothic" w:hAnsi="Century Gothic"/>
          <w:b/>
          <w:sz w:val="22"/>
          <w:szCs w:val="22"/>
        </w:rPr>
        <w:t>innen und Ansprechpartner</w:t>
      </w:r>
    </w:p>
    <w:p w14:paraId="2209DAFD" w14:textId="77777777" w:rsidR="006F05B1" w:rsidRDefault="006F05B1" w:rsidP="006F05B1">
      <w:pPr>
        <w:spacing w:after="0"/>
        <w:rPr>
          <w:rFonts w:ascii="Century Gothic" w:hAnsi="Century Gothic"/>
        </w:rPr>
      </w:pPr>
    </w:p>
    <w:p w14:paraId="6F22EDF4" w14:textId="77777777" w:rsidR="006F05B1" w:rsidRDefault="006F05B1" w:rsidP="006F05B1">
      <w:pPr>
        <w:spacing w:after="0"/>
        <w:rPr>
          <w:rFonts w:ascii="Century Gothic" w:hAnsi="Century Gothic"/>
        </w:rPr>
      </w:pPr>
      <w:r w:rsidRPr="00472725">
        <w:rPr>
          <w:rFonts w:ascii="Century Gothic" w:hAnsi="Century Gothic"/>
        </w:rPr>
        <w:t>VDW (Verein Deutscher Werkzeugmaschinenfabriken)</w:t>
      </w:r>
      <w:r>
        <w:rPr>
          <w:rFonts w:ascii="Century Gothic" w:hAnsi="Century Gothic"/>
        </w:rPr>
        <w:br/>
        <w:t>Gerda Kneifel</w:t>
      </w:r>
      <w:r>
        <w:rPr>
          <w:rFonts w:ascii="Century Gothic" w:hAnsi="Century Gothic"/>
        </w:rPr>
        <w:br/>
      </w:r>
      <w:r w:rsidRPr="00472725">
        <w:rPr>
          <w:rFonts w:ascii="Century Gothic" w:hAnsi="Century Gothic"/>
        </w:rPr>
        <w:t>Presse- und Öffentlichkeitsarbeit</w:t>
      </w:r>
      <w:r>
        <w:rPr>
          <w:rFonts w:ascii="Century Gothic" w:hAnsi="Century Gothic"/>
        </w:rPr>
        <w:br/>
        <w:t>Lyoner Straße 18</w:t>
      </w:r>
      <w:r>
        <w:rPr>
          <w:rFonts w:ascii="Century Gothic" w:hAnsi="Century Gothic"/>
        </w:rPr>
        <w:br/>
        <w:t>60528</w:t>
      </w:r>
      <w:r w:rsidRPr="00472725">
        <w:rPr>
          <w:rFonts w:ascii="Century Gothic" w:hAnsi="Century Gothic"/>
        </w:rPr>
        <w:t xml:space="preserve"> Frankfurt am Main</w:t>
      </w:r>
      <w:r>
        <w:rPr>
          <w:rFonts w:ascii="Century Gothic" w:hAnsi="Century Gothic"/>
        </w:rPr>
        <w:br/>
        <w:t>DEUTSCHLAND</w:t>
      </w:r>
    </w:p>
    <w:p w14:paraId="2A0FA5E0" w14:textId="77777777" w:rsidR="006F05B1" w:rsidRDefault="006F05B1" w:rsidP="006F05B1">
      <w:pPr>
        <w:spacing w:after="0"/>
        <w:rPr>
          <w:rStyle w:val="Hyperlink"/>
          <w:rFonts w:ascii="Century Gothic" w:hAnsi="Century Gothic"/>
        </w:rPr>
      </w:pPr>
      <w:r>
        <w:rPr>
          <w:rFonts w:ascii="Century Gothic" w:hAnsi="Century Gothic"/>
        </w:rPr>
        <w:t>Tel. +49 69 756081-32</w:t>
      </w:r>
      <w:r>
        <w:rPr>
          <w:rFonts w:ascii="Century Gothic" w:hAnsi="Century Gothic"/>
        </w:rPr>
        <w:br/>
      </w:r>
      <w:hyperlink r:id="rId8" w:history="1">
        <w:r w:rsidRPr="0054372B">
          <w:rPr>
            <w:rStyle w:val="Hyperlink"/>
            <w:rFonts w:ascii="Century Gothic" w:hAnsi="Century Gothic"/>
          </w:rPr>
          <w:t>g.kneifel@vdw.de</w:t>
        </w:r>
      </w:hyperlink>
      <w:r>
        <w:rPr>
          <w:rFonts w:ascii="Century Gothic" w:hAnsi="Century Gothic"/>
        </w:rPr>
        <w:br/>
      </w:r>
      <w:hyperlink r:id="rId9" w:history="1">
        <w:r w:rsidRPr="00C940B2">
          <w:rPr>
            <w:rStyle w:val="Hyperlink"/>
            <w:rFonts w:ascii="Century Gothic" w:hAnsi="Century Gothic"/>
          </w:rPr>
          <w:t>www.vdw.de</w:t>
        </w:r>
      </w:hyperlink>
    </w:p>
    <w:p w14:paraId="355B3C25" w14:textId="77777777" w:rsidR="006F05B1" w:rsidRDefault="006F05B1" w:rsidP="006F05B1">
      <w:pPr>
        <w:rPr>
          <w:rStyle w:val="Hyperlink"/>
          <w:rFonts w:ascii="Century Gothic" w:hAnsi="Century Gothic"/>
        </w:rPr>
      </w:pPr>
    </w:p>
    <w:p w14:paraId="081F3302" w14:textId="1E3F4141" w:rsidR="006F05B1" w:rsidRDefault="006F05B1" w:rsidP="006F05B1">
      <w:pPr>
        <w:spacing w:after="0"/>
        <w:rPr>
          <w:rFonts w:ascii="Century Gothic" w:hAnsi="Century Gothic"/>
        </w:rPr>
      </w:pPr>
      <w:proofErr w:type="spellStart"/>
      <w:r>
        <w:rPr>
          <w:rFonts w:ascii="Century Gothic" w:hAnsi="Century Gothic"/>
        </w:rPr>
        <w:t>Datron</w:t>
      </w:r>
      <w:proofErr w:type="spellEnd"/>
      <w:r>
        <w:rPr>
          <w:rFonts w:ascii="Century Gothic" w:hAnsi="Century Gothic"/>
        </w:rPr>
        <w:t xml:space="preserve"> AG</w:t>
      </w:r>
    </w:p>
    <w:p w14:paraId="2FF485DB" w14:textId="77777777" w:rsidR="006F05B1" w:rsidRDefault="006F05B1" w:rsidP="006F05B1">
      <w:pPr>
        <w:spacing w:after="0"/>
        <w:rPr>
          <w:rFonts w:ascii="Century Gothic" w:hAnsi="Century Gothic"/>
        </w:rPr>
      </w:pPr>
      <w:r>
        <w:rPr>
          <w:rFonts w:ascii="Century Gothic" w:hAnsi="Century Gothic"/>
        </w:rPr>
        <w:t>Charlotte Breitwieser</w:t>
      </w:r>
    </w:p>
    <w:p w14:paraId="52BFE9E4" w14:textId="77777777" w:rsidR="006F05B1" w:rsidRDefault="006F05B1" w:rsidP="006F05B1">
      <w:pPr>
        <w:spacing w:after="0"/>
        <w:rPr>
          <w:rFonts w:ascii="Century Gothic" w:hAnsi="Century Gothic"/>
        </w:rPr>
      </w:pPr>
      <w:r>
        <w:rPr>
          <w:rFonts w:ascii="Century Gothic" w:hAnsi="Century Gothic"/>
        </w:rPr>
        <w:t>Leitung Unternehmenskommunikation</w:t>
      </w:r>
    </w:p>
    <w:p w14:paraId="277CA6AC" w14:textId="77777777" w:rsidR="006F05B1" w:rsidRDefault="006F05B1" w:rsidP="006F05B1">
      <w:pPr>
        <w:spacing w:after="0"/>
        <w:rPr>
          <w:rFonts w:ascii="Century Gothic" w:hAnsi="Century Gothic"/>
        </w:rPr>
      </w:pPr>
      <w:r>
        <w:rPr>
          <w:rFonts w:ascii="Century Gothic" w:hAnsi="Century Gothic"/>
        </w:rPr>
        <w:t xml:space="preserve">In den </w:t>
      </w:r>
      <w:proofErr w:type="spellStart"/>
      <w:r>
        <w:rPr>
          <w:rFonts w:ascii="Century Gothic" w:hAnsi="Century Gothic"/>
        </w:rPr>
        <w:t>Gänsäckern</w:t>
      </w:r>
      <w:proofErr w:type="spellEnd"/>
      <w:r>
        <w:rPr>
          <w:rFonts w:ascii="Century Gothic" w:hAnsi="Century Gothic"/>
        </w:rPr>
        <w:t xml:space="preserve"> 5</w:t>
      </w:r>
    </w:p>
    <w:p w14:paraId="7412DBF7" w14:textId="77777777" w:rsidR="006F05B1" w:rsidRDefault="006F05B1" w:rsidP="006F05B1">
      <w:pPr>
        <w:spacing w:after="0"/>
        <w:rPr>
          <w:rFonts w:ascii="Century Gothic" w:hAnsi="Century Gothic"/>
        </w:rPr>
      </w:pPr>
      <w:r>
        <w:rPr>
          <w:rFonts w:ascii="Century Gothic" w:hAnsi="Century Gothic"/>
        </w:rPr>
        <w:t>64367 Mühltal</w:t>
      </w:r>
    </w:p>
    <w:p w14:paraId="128D7783" w14:textId="77777777" w:rsidR="006F05B1" w:rsidRDefault="006F05B1" w:rsidP="006F05B1">
      <w:pPr>
        <w:spacing w:after="0"/>
        <w:rPr>
          <w:rFonts w:ascii="Century Gothic" w:hAnsi="Century Gothic"/>
        </w:rPr>
      </w:pPr>
      <w:r>
        <w:rPr>
          <w:rFonts w:ascii="Century Gothic" w:hAnsi="Century Gothic"/>
        </w:rPr>
        <w:t>DEUTSCHLAND</w:t>
      </w:r>
    </w:p>
    <w:p w14:paraId="582E9BE7" w14:textId="77777777" w:rsidR="006F05B1" w:rsidRDefault="006F05B1" w:rsidP="006F05B1">
      <w:pPr>
        <w:spacing w:after="0"/>
        <w:rPr>
          <w:rFonts w:ascii="Century Gothic" w:hAnsi="Century Gothic"/>
        </w:rPr>
      </w:pPr>
      <w:r>
        <w:rPr>
          <w:rFonts w:ascii="Century Gothic" w:hAnsi="Century Gothic"/>
        </w:rPr>
        <w:t>Tel. +49 6151 1419-189</w:t>
      </w:r>
    </w:p>
    <w:p w14:paraId="0F1FD96B" w14:textId="77777777" w:rsidR="006F05B1" w:rsidRDefault="006F05B1" w:rsidP="006F05B1">
      <w:pPr>
        <w:spacing w:after="0"/>
        <w:rPr>
          <w:rFonts w:ascii="Century Gothic" w:hAnsi="Century Gothic"/>
        </w:rPr>
      </w:pPr>
      <w:r>
        <w:rPr>
          <w:rFonts w:ascii="Century Gothic" w:hAnsi="Century Gothic"/>
        </w:rPr>
        <w:t>Charlotte.Breitwieser@datron.de</w:t>
      </w:r>
    </w:p>
    <w:p w14:paraId="53E491F2" w14:textId="77777777" w:rsidR="006F05B1" w:rsidRPr="009B0C8A" w:rsidRDefault="006F05B1" w:rsidP="006F05B1">
      <w:pPr>
        <w:spacing w:after="0"/>
        <w:rPr>
          <w:rFonts w:ascii="Century Gothic" w:hAnsi="Century Gothic"/>
        </w:rPr>
      </w:pPr>
      <w:r w:rsidRPr="009B0C8A">
        <w:rPr>
          <w:rFonts w:ascii="Century Gothic" w:hAnsi="Century Gothic"/>
        </w:rPr>
        <w:t>www.datron.de</w:t>
      </w:r>
    </w:p>
    <w:p w14:paraId="02BFD3F9" w14:textId="77777777" w:rsidR="006F05B1" w:rsidRPr="009B0C8A" w:rsidRDefault="006F05B1" w:rsidP="006F05B1">
      <w:pPr>
        <w:spacing w:after="0"/>
        <w:rPr>
          <w:rFonts w:ascii="Century Gothic" w:hAnsi="Century Gothic"/>
        </w:rPr>
      </w:pPr>
    </w:p>
    <w:p w14:paraId="1433AFE2" w14:textId="77777777" w:rsidR="006F05B1" w:rsidRPr="009B0C8A" w:rsidRDefault="006F05B1" w:rsidP="006F05B1">
      <w:pPr>
        <w:pStyle w:val="NurText"/>
        <w:spacing w:line="276" w:lineRule="auto"/>
        <w:rPr>
          <w:rFonts w:ascii="Century Gothic" w:hAnsi="Century Gothic"/>
          <w:sz w:val="22"/>
          <w:szCs w:val="22"/>
        </w:rPr>
      </w:pPr>
    </w:p>
    <w:p w14:paraId="1DEF1BF7" w14:textId="77777777" w:rsidR="006F05B1" w:rsidRDefault="006F05B1" w:rsidP="006F05B1">
      <w:pPr>
        <w:spacing w:after="0"/>
        <w:rPr>
          <w:rFonts w:ascii="Century Gothic" w:hAnsi="Century Gothic"/>
          <w:lang w:val="en-US"/>
        </w:rPr>
      </w:pPr>
      <w:r w:rsidRPr="00E8453D">
        <w:rPr>
          <w:rFonts w:ascii="Century Gothic" w:hAnsi="Century Gothic"/>
          <w:lang w:val="en-US"/>
        </w:rPr>
        <w:t>ETA</w:t>
      </w:r>
      <w:r>
        <w:rPr>
          <w:rFonts w:ascii="Century Gothic" w:hAnsi="Century Gothic"/>
          <w:lang w:val="en-US"/>
        </w:rPr>
        <w:t>-</w:t>
      </w:r>
      <w:r w:rsidRPr="00E8453D">
        <w:rPr>
          <w:rFonts w:ascii="Century Gothic" w:hAnsi="Century Gothic"/>
          <w:lang w:val="en-US"/>
        </w:rPr>
        <w:t>Solutions Gmb</w:t>
      </w:r>
      <w:r>
        <w:rPr>
          <w:rFonts w:ascii="Century Gothic" w:hAnsi="Century Gothic"/>
          <w:lang w:val="en-US"/>
        </w:rPr>
        <w:t>H</w:t>
      </w:r>
    </w:p>
    <w:p w14:paraId="7910994F" w14:textId="77777777" w:rsidR="006F05B1" w:rsidRPr="009B0C8A" w:rsidRDefault="006F05B1" w:rsidP="006F05B1">
      <w:pPr>
        <w:spacing w:after="0"/>
        <w:rPr>
          <w:rFonts w:ascii="Century Gothic" w:hAnsi="Century Gothic"/>
        </w:rPr>
      </w:pPr>
      <w:r w:rsidRPr="009B0C8A">
        <w:rPr>
          <w:rFonts w:ascii="Century Gothic" w:hAnsi="Century Gothic"/>
        </w:rPr>
        <w:t>Dr. Philipp Schraml</w:t>
      </w:r>
    </w:p>
    <w:p w14:paraId="0CD66FF3" w14:textId="77777777" w:rsidR="006F05B1" w:rsidRPr="00E8453D" w:rsidRDefault="006F05B1" w:rsidP="006F05B1">
      <w:pPr>
        <w:spacing w:after="0"/>
        <w:rPr>
          <w:rFonts w:ascii="Century Gothic" w:hAnsi="Century Gothic"/>
        </w:rPr>
      </w:pPr>
      <w:r w:rsidRPr="00E8453D">
        <w:rPr>
          <w:rFonts w:ascii="Century Gothic" w:hAnsi="Century Gothic"/>
        </w:rPr>
        <w:t>Geschäftsführung</w:t>
      </w:r>
    </w:p>
    <w:p w14:paraId="199187AF" w14:textId="77777777" w:rsidR="006F05B1" w:rsidRPr="00E8453D" w:rsidRDefault="006F05B1" w:rsidP="006F05B1">
      <w:pPr>
        <w:spacing w:after="0"/>
        <w:rPr>
          <w:rFonts w:ascii="Century Gothic" w:hAnsi="Century Gothic"/>
        </w:rPr>
      </w:pPr>
      <w:r w:rsidRPr="00E8453D">
        <w:rPr>
          <w:rFonts w:ascii="Century Gothic" w:hAnsi="Century Gothic"/>
        </w:rPr>
        <w:t>Darmstädter Str. 239</w:t>
      </w:r>
    </w:p>
    <w:p w14:paraId="7F0F0635" w14:textId="77777777" w:rsidR="006F05B1" w:rsidRPr="00E8453D" w:rsidRDefault="006F05B1" w:rsidP="006F05B1">
      <w:pPr>
        <w:spacing w:after="0"/>
        <w:rPr>
          <w:rFonts w:ascii="Century Gothic" w:hAnsi="Century Gothic"/>
        </w:rPr>
      </w:pPr>
      <w:r w:rsidRPr="00E8453D">
        <w:rPr>
          <w:rFonts w:ascii="Century Gothic" w:hAnsi="Century Gothic"/>
        </w:rPr>
        <w:t>64625 Bensheim</w:t>
      </w:r>
    </w:p>
    <w:p w14:paraId="7E6E23F3" w14:textId="77777777" w:rsidR="006F05B1" w:rsidRDefault="006F05B1" w:rsidP="006F05B1">
      <w:pPr>
        <w:spacing w:after="0"/>
        <w:rPr>
          <w:rFonts w:ascii="Century Gothic" w:hAnsi="Century Gothic"/>
        </w:rPr>
      </w:pPr>
      <w:r>
        <w:rPr>
          <w:rFonts w:ascii="Century Gothic" w:hAnsi="Century Gothic"/>
        </w:rPr>
        <w:t>DEUTSCHLAND</w:t>
      </w:r>
    </w:p>
    <w:p w14:paraId="6266157D" w14:textId="77777777" w:rsidR="006F05B1" w:rsidRPr="00E8453D" w:rsidRDefault="006F05B1" w:rsidP="006F05B1">
      <w:pPr>
        <w:spacing w:after="0"/>
        <w:rPr>
          <w:rFonts w:ascii="Century Gothic" w:hAnsi="Century Gothic"/>
        </w:rPr>
      </w:pPr>
      <w:r w:rsidRPr="00E8453D">
        <w:rPr>
          <w:rFonts w:ascii="Century Gothic" w:hAnsi="Century Gothic"/>
        </w:rPr>
        <w:t>Tel. +49 6251 82555-33</w:t>
      </w:r>
    </w:p>
    <w:p w14:paraId="01535220" w14:textId="77777777" w:rsidR="006F05B1" w:rsidRDefault="00342AB1" w:rsidP="006F05B1">
      <w:pPr>
        <w:spacing w:after="0"/>
        <w:rPr>
          <w:rFonts w:ascii="Century Gothic" w:hAnsi="Century Gothic"/>
        </w:rPr>
      </w:pPr>
      <w:hyperlink r:id="rId10" w:history="1">
        <w:r w:rsidR="006F05B1" w:rsidRPr="0054372B">
          <w:rPr>
            <w:rStyle w:val="Hyperlink"/>
            <w:rFonts w:ascii="Century Gothic" w:hAnsi="Century Gothic"/>
          </w:rPr>
          <w:t>schraml@eta-solutions.de</w:t>
        </w:r>
      </w:hyperlink>
    </w:p>
    <w:p w14:paraId="748256CF" w14:textId="77777777" w:rsidR="006F05B1" w:rsidRPr="00E8453D" w:rsidRDefault="006F05B1" w:rsidP="006F05B1">
      <w:pPr>
        <w:spacing w:after="0"/>
        <w:rPr>
          <w:rFonts w:ascii="Century Gothic" w:hAnsi="Century Gothic"/>
        </w:rPr>
      </w:pPr>
      <w:r>
        <w:rPr>
          <w:rFonts w:ascii="Century Gothic" w:hAnsi="Century Gothic"/>
        </w:rPr>
        <w:t>www.eta-solutions.de</w:t>
      </w:r>
    </w:p>
    <w:p w14:paraId="21434AB1" w14:textId="77777777" w:rsidR="00AA21A5" w:rsidRDefault="00AA21A5" w:rsidP="00AA21A5">
      <w:pPr>
        <w:pStyle w:val="KeinLeerraum"/>
        <w:rPr>
          <w:rFonts w:ascii="Century Gothic" w:hAnsi="Century Gothic"/>
        </w:rPr>
      </w:pPr>
    </w:p>
    <w:p w14:paraId="2D951B1B" w14:textId="77777777" w:rsidR="00AA21A5" w:rsidRPr="0081190D" w:rsidRDefault="00AA21A5" w:rsidP="00AA21A5">
      <w:pPr>
        <w:pStyle w:val="KeinLeerraum"/>
        <w:rPr>
          <w:rFonts w:ascii="Century Gothic" w:hAnsi="Century Gothic"/>
        </w:rPr>
      </w:pPr>
    </w:p>
    <w:p w14:paraId="7D0BC048" w14:textId="77777777" w:rsidR="00C1657B" w:rsidRPr="00D53E46" w:rsidRDefault="00C1657B" w:rsidP="00C1657B">
      <w:pPr>
        <w:spacing w:after="0" w:line="360" w:lineRule="auto"/>
        <w:ind w:right="990"/>
        <w:rPr>
          <w:rFonts w:ascii="Century Gothic" w:hAnsi="Century Gothic"/>
        </w:rPr>
      </w:pPr>
      <w:r w:rsidRPr="00D53E46">
        <w:rPr>
          <w:rFonts w:ascii="Century Gothic" w:hAnsi="Century Gothic"/>
        </w:rPr>
        <w:t xml:space="preserve">Detaillierte Informationen, Angebote und Anmeldeunterlagen zur METAV 2022 finden Sie im Internet unter </w:t>
      </w:r>
      <w:hyperlink r:id="rId11" w:history="1">
        <w:r w:rsidRPr="00D53E46">
          <w:rPr>
            <w:rStyle w:val="Hyperlink"/>
            <w:rFonts w:ascii="Century Gothic" w:hAnsi="Century Gothic"/>
          </w:rPr>
          <w:t>www.metav.de</w:t>
        </w:r>
      </w:hyperlink>
      <w:r w:rsidRPr="00D53E46">
        <w:rPr>
          <w:rFonts w:ascii="Century Gothic" w:hAnsi="Century Gothic"/>
        </w:rPr>
        <w:t>.</w:t>
      </w:r>
    </w:p>
    <w:p w14:paraId="3CFEEF13" w14:textId="77777777" w:rsidR="006E7435" w:rsidRDefault="006E7435" w:rsidP="006E7435">
      <w:pPr>
        <w:spacing w:after="0" w:line="360" w:lineRule="auto"/>
        <w:ind w:right="990"/>
        <w:rPr>
          <w:rFonts w:ascii="Century Gothic" w:hAnsi="Century Gothic"/>
          <w:sz w:val="18"/>
          <w:szCs w:val="18"/>
        </w:rPr>
      </w:pPr>
    </w:p>
    <w:p w14:paraId="1B26715D"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2CD7BEE0" w14:textId="77777777" w:rsidR="006E7435" w:rsidRPr="00BC6490" w:rsidRDefault="006E7435" w:rsidP="006E7435">
      <w:pPr>
        <w:spacing w:after="0" w:line="360" w:lineRule="auto"/>
        <w:ind w:right="990"/>
        <w:rPr>
          <w:rFonts w:ascii="Century Gothic" w:hAnsi="Century Gothic"/>
        </w:rPr>
      </w:pPr>
    </w:p>
    <w:p w14:paraId="6BC252CA"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4" w:history="1">
        <w:r w:rsidRPr="00BC6490">
          <w:rPr>
            <w:rStyle w:val="Hyperlink"/>
            <w:rFonts w:ascii="Century Gothic" w:hAnsi="Century Gothic"/>
            <w:i/>
          </w:rPr>
          <w:t>http://twitter.com/METAVonline</w:t>
        </w:r>
      </w:hyperlink>
    </w:p>
    <w:p w14:paraId="18EF1129"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26721C73"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7" w:history="1">
        <w:r w:rsidRPr="00BC6490">
          <w:rPr>
            <w:rStyle w:val="Hyperlink"/>
            <w:rFonts w:ascii="Century Gothic" w:hAnsi="Century Gothic"/>
            <w:i/>
          </w:rPr>
          <w:t>http://www.youtube.com/metaltradefair</w:t>
        </w:r>
      </w:hyperlink>
    </w:p>
    <w:p w14:paraId="02BA375B"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3CEA4DCA" w14:textId="77777777" w:rsidR="006E7435" w:rsidRPr="00350470" w:rsidRDefault="006E7435" w:rsidP="006E7435">
      <w:pPr>
        <w:autoSpaceDE w:val="0"/>
        <w:autoSpaceDN w:val="0"/>
        <w:adjustRightInd w:val="0"/>
        <w:spacing w:after="0" w:line="240" w:lineRule="auto"/>
        <w:ind w:right="990"/>
        <w:rPr>
          <w:rFonts w:ascii="Century Gothic" w:hAnsi="Century Gothic"/>
        </w:rPr>
      </w:pPr>
      <w:r w:rsidRPr="00340B81">
        <w:rPr>
          <w:rFonts w:ascii="Effra" w:eastAsia="Times New Roman" w:hAnsi="Effra" w:cs="Times New Roman"/>
          <w:noProof/>
          <w:kern w:val="4"/>
          <w:lang w:eastAsia="de-DE"/>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Pr>
          <w:rFonts w:ascii="Effra" w:eastAsia="Times New Roman" w:hAnsi="Effra" w:cs="Times New Roman"/>
          <w:kern w:val="4"/>
          <w:lang w:eastAsia="de-DE"/>
        </w:rPr>
        <w:t xml:space="preserve"> </w:t>
      </w:r>
      <w:hyperlink r:id="rId20" w:history="1">
        <w:r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543E495C" w14:textId="102DBD98" w:rsidR="00350470" w:rsidRPr="00AA21A5" w:rsidRDefault="00350470" w:rsidP="00AA21A5"/>
    <w:sectPr w:rsidR="00350470" w:rsidRPr="00AA21A5" w:rsidSect="00A50A65">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Effra">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342AB1"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C1657B"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77167"/>
    <w:rsid w:val="002962FE"/>
    <w:rsid w:val="002A0680"/>
    <w:rsid w:val="002A5A5C"/>
    <w:rsid w:val="002D17FA"/>
    <w:rsid w:val="002D6846"/>
    <w:rsid w:val="003079D1"/>
    <w:rsid w:val="00310A2A"/>
    <w:rsid w:val="00342AB1"/>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4DF8"/>
    <w:rsid w:val="005B59FC"/>
    <w:rsid w:val="005E4FA1"/>
    <w:rsid w:val="006048CD"/>
    <w:rsid w:val="00647A3D"/>
    <w:rsid w:val="0065164C"/>
    <w:rsid w:val="006770F7"/>
    <w:rsid w:val="0068055E"/>
    <w:rsid w:val="006971EC"/>
    <w:rsid w:val="006D467A"/>
    <w:rsid w:val="006E7435"/>
    <w:rsid w:val="006F05B1"/>
    <w:rsid w:val="007249FA"/>
    <w:rsid w:val="007402B3"/>
    <w:rsid w:val="007752A4"/>
    <w:rsid w:val="007A5FCA"/>
    <w:rsid w:val="007B1A9C"/>
    <w:rsid w:val="007B1AB7"/>
    <w:rsid w:val="007F2B71"/>
    <w:rsid w:val="00814412"/>
    <w:rsid w:val="0082582F"/>
    <w:rsid w:val="00872639"/>
    <w:rsid w:val="008C51E1"/>
    <w:rsid w:val="008D4DDC"/>
    <w:rsid w:val="008F4216"/>
    <w:rsid w:val="008F6B4C"/>
    <w:rsid w:val="00907773"/>
    <w:rsid w:val="0092624F"/>
    <w:rsid w:val="00930F49"/>
    <w:rsid w:val="00946922"/>
    <w:rsid w:val="00950FA0"/>
    <w:rsid w:val="00980CED"/>
    <w:rsid w:val="009B21E0"/>
    <w:rsid w:val="009B6F2E"/>
    <w:rsid w:val="009E11A5"/>
    <w:rsid w:val="00A0388B"/>
    <w:rsid w:val="00A125E7"/>
    <w:rsid w:val="00A50A65"/>
    <w:rsid w:val="00A8233E"/>
    <w:rsid w:val="00AA21A5"/>
    <w:rsid w:val="00AA73C2"/>
    <w:rsid w:val="00AB3F3F"/>
    <w:rsid w:val="00AF7CF2"/>
    <w:rsid w:val="00B060D3"/>
    <w:rsid w:val="00B11E16"/>
    <w:rsid w:val="00B21218"/>
    <w:rsid w:val="00B83CF4"/>
    <w:rsid w:val="00B9587A"/>
    <w:rsid w:val="00BA7369"/>
    <w:rsid w:val="00BC09C1"/>
    <w:rsid w:val="00BE53DA"/>
    <w:rsid w:val="00C1657B"/>
    <w:rsid w:val="00C356A8"/>
    <w:rsid w:val="00C7651A"/>
    <w:rsid w:val="00C97496"/>
    <w:rsid w:val="00CA21A5"/>
    <w:rsid w:val="00CC1005"/>
    <w:rsid w:val="00CE3986"/>
    <w:rsid w:val="00CE5E7D"/>
    <w:rsid w:val="00D2128B"/>
    <w:rsid w:val="00D35CC8"/>
    <w:rsid w:val="00D53E46"/>
    <w:rsid w:val="00D7410E"/>
    <w:rsid w:val="00D844FF"/>
    <w:rsid w:val="00D938B7"/>
    <w:rsid w:val="00DC7BDC"/>
    <w:rsid w:val="00DD1733"/>
    <w:rsid w:val="00E21A9C"/>
    <w:rsid w:val="00E73A20"/>
    <w:rsid w:val="00E7502D"/>
    <w:rsid w:val="00F11618"/>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gif"/><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ta-transfer.de"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linkedin.com/compan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chraml@eta-solutions.d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hyperlink" Target="http://twitter.com/METAVonlin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9978</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3</cp:revision>
  <cp:lastPrinted>2022-04-19T13:13:00Z</cp:lastPrinted>
  <dcterms:created xsi:type="dcterms:W3CDTF">2022-04-08T09:48:00Z</dcterms:created>
  <dcterms:modified xsi:type="dcterms:W3CDTF">2022-04-19T13:13:00Z</dcterms:modified>
</cp:coreProperties>
</file>