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1134"/>
        <w:gridCol w:w="6521"/>
        <w:gridCol w:w="2693"/>
      </w:tblGrid>
      <w:tr w:rsidR="00F01E07" w14:paraId="782183F3" w14:textId="77777777">
        <w:trPr>
          <w:cantSplit/>
          <w:trHeight w:hRule="exact" w:val="480"/>
        </w:trPr>
        <w:tc>
          <w:tcPr>
            <w:tcW w:w="7655" w:type="dxa"/>
            <w:gridSpan w:val="2"/>
          </w:tcPr>
          <w:p w14:paraId="59E3E08F" w14:textId="77777777" w:rsidR="00F01E07" w:rsidRDefault="00F01E07">
            <w:pPr>
              <w:rPr>
                <w:b/>
                <w:bCs/>
              </w:rPr>
            </w:pPr>
            <w:r>
              <w:rPr>
                <w:b/>
                <w:bCs/>
              </w:rPr>
              <w:t>PRESSEINFORMATION</w:t>
            </w:r>
          </w:p>
        </w:tc>
        <w:tc>
          <w:tcPr>
            <w:tcW w:w="2693" w:type="dxa"/>
            <w:vMerge w:val="restart"/>
          </w:tcPr>
          <w:p w14:paraId="162ABFFE" w14:textId="66658E98" w:rsidR="0050117F" w:rsidRDefault="00777458" w:rsidP="0050117F">
            <w:pPr>
              <w:pStyle w:val="Address"/>
            </w:pPr>
            <w:r>
              <w:t>Lyoner Straße 1</w:t>
            </w:r>
            <w:r w:rsidR="0042443D">
              <w:t>8</w:t>
            </w:r>
          </w:p>
          <w:p w14:paraId="01143849" w14:textId="77777777" w:rsidR="0050117F" w:rsidRDefault="0050117F" w:rsidP="0050117F">
            <w:pPr>
              <w:pStyle w:val="Address"/>
            </w:pPr>
            <w:r>
              <w:t>60</w:t>
            </w:r>
            <w:r w:rsidR="00777458">
              <w:t>528</w:t>
            </w:r>
            <w:r>
              <w:t xml:space="preserve"> Frankfurt am Main</w:t>
            </w:r>
          </w:p>
          <w:p w14:paraId="7FC00728" w14:textId="77777777" w:rsidR="0050117F" w:rsidRDefault="009170BD" w:rsidP="0050117F">
            <w:pPr>
              <w:pStyle w:val="Address"/>
            </w:pPr>
            <w:r>
              <w:t>GERMANY</w:t>
            </w:r>
          </w:p>
          <w:p w14:paraId="04DF840B" w14:textId="77777777" w:rsidR="0050117F" w:rsidRDefault="0050117F" w:rsidP="0050117F">
            <w:pPr>
              <w:pStyle w:val="Address"/>
            </w:pPr>
            <w:r>
              <w:t>Telefon</w:t>
            </w:r>
            <w:r>
              <w:tab/>
              <w:t>+49 69 756081-</w:t>
            </w:r>
            <w:r w:rsidR="0052444D">
              <w:t>0</w:t>
            </w:r>
          </w:p>
          <w:p w14:paraId="0DD9586A" w14:textId="77777777" w:rsidR="0050117F" w:rsidRDefault="0050117F" w:rsidP="0050117F">
            <w:pPr>
              <w:pStyle w:val="Address"/>
            </w:pPr>
            <w:r>
              <w:t>Telefax</w:t>
            </w:r>
            <w:r>
              <w:tab/>
              <w:t>+49 69 756081-11</w:t>
            </w:r>
          </w:p>
          <w:p w14:paraId="662199BF" w14:textId="77777777" w:rsidR="0050117F" w:rsidRDefault="0050117F" w:rsidP="0050117F">
            <w:pPr>
              <w:pStyle w:val="Address"/>
            </w:pPr>
            <w:r>
              <w:t>E-Mail</w:t>
            </w:r>
            <w:r>
              <w:tab/>
            </w:r>
            <w:r w:rsidR="0052444D">
              <w:t>vdw</w:t>
            </w:r>
            <w:r>
              <w:t>@vdw.de</w:t>
            </w:r>
          </w:p>
          <w:p w14:paraId="321419EA" w14:textId="77777777" w:rsidR="0050117F" w:rsidRDefault="0050117F" w:rsidP="0050117F">
            <w:pPr>
              <w:pStyle w:val="Address"/>
            </w:pPr>
            <w:r>
              <w:t>Internet</w:t>
            </w:r>
            <w:r>
              <w:tab/>
              <w:t>www.vdw.de</w:t>
            </w:r>
          </w:p>
          <w:p w14:paraId="48330491" w14:textId="77777777" w:rsidR="0050117F" w:rsidRDefault="0050117F" w:rsidP="0050117F">
            <w:pPr>
              <w:pStyle w:val="Address"/>
            </w:pPr>
          </w:p>
          <w:p w14:paraId="72B07F9C" w14:textId="77777777" w:rsidR="00F01E07" w:rsidRDefault="00F01E07"/>
          <w:p w14:paraId="781C7E2D" w14:textId="77777777" w:rsidR="00F01E07" w:rsidRDefault="00F01E07">
            <w:pPr>
              <w:pStyle w:val="Initials"/>
            </w:pPr>
          </w:p>
        </w:tc>
      </w:tr>
      <w:tr w:rsidR="00F01E07" w14:paraId="7CB23FF3" w14:textId="77777777">
        <w:trPr>
          <w:cantSplit/>
          <w:trHeight w:val="260"/>
        </w:trPr>
        <w:tc>
          <w:tcPr>
            <w:tcW w:w="1134" w:type="dxa"/>
          </w:tcPr>
          <w:p w14:paraId="38CFE801" w14:textId="77777777" w:rsidR="00F01E07" w:rsidRDefault="00F01E07"/>
        </w:tc>
        <w:tc>
          <w:tcPr>
            <w:tcW w:w="6521" w:type="dxa"/>
          </w:tcPr>
          <w:p w14:paraId="1B044967" w14:textId="77777777" w:rsidR="00F01E07" w:rsidRDefault="00F01E07">
            <w:pPr>
              <w:pStyle w:val="Name"/>
            </w:pPr>
          </w:p>
        </w:tc>
        <w:tc>
          <w:tcPr>
            <w:tcW w:w="2693" w:type="dxa"/>
            <w:vMerge/>
            <w:vAlign w:val="center"/>
          </w:tcPr>
          <w:p w14:paraId="0E80C27F" w14:textId="77777777" w:rsidR="00F01E07" w:rsidRDefault="00F01E07"/>
        </w:tc>
      </w:tr>
      <w:tr w:rsidR="00F01E07" w14:paraId="6E3857CB" w14:textId="77777777">
        <w:trPr>
          <w:cantSplit/>
          <w:trHeight w:val="260"/>
        </w:trPr>
        <w:tc>
          <w:tcPr>
            <w:tcW w:w="1134" w:type="dxa"/>
          </w:tcPr>
          <w:p w14:paraId="5D4C47DC" w14:textId="77777777" w:rsidR="00F01E07" w:rsidRDefault="00F01E07"/>
        </w:tc>
        <w:tc>
          <w:tcPr>
            <w:tcW w:w="6521" w:type="dxa"/>
          </w:tcPr>
          <w:p w14:paraId="526DA30E" w14:textId="77777777" w:rsidR="00F01E07" w:rsidRDefault="00F01E07">
            <w:pPr>
              <w:pStyle w:val="Firma"/>
            </w:pPr>
          </w:p>
        </w:tc>
        <w:tc>
          <w:tcPr>
            <w:tcW w:w="2693" w:type="dxa"/>
            <w:vMerge/>
            <w:vAlign w:val="center"/>
          </w:tcPr>
          <w:p w14:paraId="53152BA6" w14:textId="77777777" w:rsidR="00F01E07" w:rsidRDefault="00F01E07"/>
        </w:tc>
      </w:tr>
      <w:tr w:rsidR="00F01E07" w14:paraId="0003EB58" w14:textId="77777777">
        <w:trPr>
          <w:cantSplit/>
          <w:trHeight w:val="260"/>
        </w:trPr>
        <w:tc>
          <w:tcPr>
            <w:tcW w:w="1134" w:type="dxa"/>
          </w:tcPr>
          <w:p w14:paraId="028CF472" w14:textId="77777777" w:rsidR="00F01E07" w:rsidRDefault="00F01E07"/>
        </w:tc>
        <w:tc>
          <w:tcPr>
            <w:tcW w:w="6521" w:type="dxa"/>
          </w:tcPr>
          <w:p w14:paraId="748A69E4" w14:textId="77777777" w:rsidR="00F01E07" w:rsidRDefault="00F01E07">
            <w:pPr>
              <w:pStyle w:val="Fax1"/>
              <w:spacing w:line="240" w:lineRule="atLeast"/>
            </w:pPr>
          </w:p>
        </w:tc>
        <w:tc>
          <w:tcPr>
            <w:tcW w:w="2693" w:type="dxa"/>
            <w:vMerge/>
            <w:vAlign w:val="center"/>
          </w:tcPr>
          <w:p w14:paraId="7D0D3DAC" w14:textId="77777777" w:rsidR="00F01E07" w:rsidRDefault="00F01E07"/>
        </w:tc>
      </w:tr>
      <w:tr w:rsidR="00F01E07" w14:paraId="0BE8AA54" w14:textId="77777777">
        <w:trPr>
          <w:cantSplit/>
          <w:trHeight w:val="260"/>
        </w:trPr>
        <w:tc>
          <w:tcPr>
            <w:tcW w:w="1134" w:type="dxa"/>
          </w:tcPr>
          <w:p w14:paraId="31684C30" w14:textId="77777777" w:rsidR="00F01E07" w:rsidRDefault="00F01E07"/>
        </w:tc>
        <w:tc>
          <w:tcPr>
            <w:tcW w:w="6521" w:type="dxa"/>
          </w:tcPr>
          <w:p w14:paraId="093F9047" w14:textId="77777777" w:rsidR="00F01E07" w:rsidRDefault="00F01E07"/>
        </w:tc>
        <w:tc>
          <w:tcPr>
            <w:tcW w:w="2693" w:type="dxa"/>
            <w:vMerge/>
            <w:vAlign w:val="center"/>
          </w:tcPr>
          <w:p w14:paraId="668EB5FD" w14:textId="77777777" w:rsidR="00F01E07" w:rsidRDefault="00F01E07"/>
        </w:tc>
      </w:tr>
      <w:tr w:rsidR="00F01E07" w14:paraId="1C50DEF9" w14:textId="77777777">
        <w:trPr>
          <w:cantSplit/>
          <w:trHeight w:val="260"/>
        </w:trPr>
        <w:tc>
          <w:tcPr>
            <w:tcW w:w="1134" w:type="dxa"/>
          </w:tcPr>
          <w:p w14:paraId="77DB1A99" w14:textId="77777777" w:rsidR="00F01E07" w:rsidRDefault="007B6219">
            <w:r>
              <w:t>V</w:t>
            </w:r>
            <w:r w:rsidR="00F01E07">
              <w:t>on</w:t>
            </w:r>
          </w:p>
        </w:tc>
        <w:tc>
          <w:tcPr>
            <w:tcW w:w="6521" w:type="dxa"/>
          </w:tcPr>
          <w:p w14:paraId="2B9867BA" w14:textId="77777777" w:rsidR="00F01E07" w:rsidRDefault="00F01E07">
            <w:pPr>
              <w:pStyle w:val="Von"/>
              <w:spacing w:line="240" w:lineRule="atLeast"/>
            </w:pPr>
            <w:r>
              <w:t>Sylke Becker</w:t>
            </w:r>
          </w:p>
        </w:tc>
        <w:tc>
          <w:tcPr>
            <w:tcW w:w="2693" w:type="dxa"/>
            <w:vMerge/>
            <w:vAlign w:val="center"/>
          </w:tcPr>
          <w:p w14:paraId="10D02610" w14:textId="77777777" w:rsidR="00F01E07" w:rsidRDefault="00F01E07"/>
        </w:tc>
      </w:tr>
      <w:tr w:rsidR="00F01E07" w14:paraId="69F2863A" w14:textId="77777777">
        <w:trPr>
          <w:cantSplit/>
          <w:trHeight w:val="260"/>
        </w:trPr>
        <w:tc>
          <w:tcPr>
            <w:tcW w:w="1134" w:type="dxa"/>
          </w:tcPr>
          <w:p w14:paraId="6586C1E8" w14:textId="77777777" w:rsidR="00F01E07" w:rsidRDefault="00F01E07">
            <w:r>
              <w:t>Telefon</w:t>
            </w:r>
          </w:p>
        </w:tc>
        <w:tc>
          <w:tcPr>
            <w:tcW w:w="6521" w:type="dxa"/>
          </w:tcPr>
          <w:p w14:paraId="7DC9DE1C" w14:textId="77777777" w:rsidR="00F01E07" w:rsidRDefault="00F01E07">
            <w:pPr>
              <w:pStyle w:val="Telefon"/>
            </w:pPr>
            <w:r>
              <w:t>+49 69 756081-33</w:t>
            </w:r>
          </w:p>
        </w:tc>
        <w:tc>
          <w:tcPr>
            <w:tcW w:w="2693" w:type="dxa"/>
            <w:vMerge/>
            <w:vAlign w:val="center"/>
          </w:tcPr>
          <w:p w14:paraId="445AC98A" w14:textId="77777777" w:rsidR="00F01E07" w:rsidRDefault="00F01E07"/>
        </w:tc>
      </w:tr>
      <w:tr w:rsidR="00F01E07" w14:paraId="5525DDC6" w14:textId="77777777">
        <w:trPr>
          <w:cantSplit/>
          <w:trHeight w:val="260"/>
        </w:trPr>
        <w:tc>
          <w:tcPr>
            <w:tcW w:w="1134" w:type="dxa"/>
          </w:tcPr>
          <w:p w14:paraId="181449C5" w14:textId="77777777" w:rsidR="00F01E07" w:rsidRDefault="00F01E07">
            <w:r>
              <w:t>Telefax</w:t>
            </w:r>
          </w:p>
        </w:tc>
        <w:tc>
          <w:tcPr>
            <w:tcW w:w="6521" w:type="dxa"/>
          </w:tcPr>
          <w:p w14:paraId="5D5ED737" w14:textId="77777777" w:rsidR="00F01E07" w:rsidRDefault="00F01E07">
            <w:pPr>
              <w:pStyle w:val="Fax2"/>
              <w:spacing w:line="240" w:lineRule="atLeast"/>
            </w:pPr>
            <w:r>
              <w:t>+49 69 756081-11</w:t>
            </w:r>
          </w:p>
        </w:tc>
        <w:tc>
          <w:tcPr>
            <w:tcW w:w="2693" w:type="dxa"/>
            <w:vMerge/>
            <w:vAlign w:val="center"/>
          </w:tcPr>
          <w:p w14:paraId="1A735238" w14:textId="77777777" w:rsidR="00F01E07" w:rsidRDefault="00F01E07"/>
        </w:tc>
      </w:tr>
      <w:tr w:rsidR="00F01E07" w14:paraId="4F6FBB5E" w14:textId="77777777">
        <w:trPr>
          <w:cantSplit/>
          <w:trHeight w:val="260"/>
        </w:trPr>
        <w:tc>
          <w:tcPr>
            <w:tcW w:w="1134" w:type="dxa"/>
          </w:tcPr>
          <w:p w14:paraId="28B9CDF2" w14:textId="77777777" w:rsidR="00F01E07" w:rsidRDefault="00F01E07">
            <w:r>
              <w:t>E-Mail</w:t>
            </w:r>
          </w:p>
        </w:tc>
        <w:tc>
          <w:tcPr>
            <w:tcW w:w="6521" w:type="dxa"/>
          </w:tcPr>
          <w:p w14:paraId="7B1E8EA8" w14:textId="77777777" w:rsidR="00F01E07" w:rsidRDefault="00F01E07">
            <w:pPr>
              <w:pStyle w:val="Page"/>
            </w:pPr>
            <w:r>
              <w:t>s.becker@vdw.de</w:t>
            </w:r>
          </w:p>
        </w:tc>
        <w:tc>
          <w:tcPr>
            <w:tcW w:w="2693" w:type="dxa"/>
            <w:vMerge/>
            <w:vAlign w:val="center"/>
          </w:tcPr>
          <w:p w14:paraId="5E53C9C0" w14:textId="77777777" w:rsidR="00F01E07" w:rsidRDefault="00F01E07"/>
        </w:tc>
      </w:tr>
    </w:tbl>
    <w:p w14:paraId="0C73DF37" w14:textId="77777777" w:rsidR="00F01E07" w:rsidRDefault="00F01E07"/>
    <w:p w14:paraId="54470131" w14:textId="77777777" w:rsidR="00F01E07" w:rsidRDefault="00F01E07"/>
    <w:p w14:paraId="13A7AC5C" w14:textId="77777777" w:rsidR="00F01E07" w:rsidRDefault="00F01E07">
      <w:bookmarkStart w:id="0" w:name="Text"/>
      <w:bookmarkEnd w:id="0"/>
    </w:p>
    <w:p w14:paraId="4FD4FC34" w14:textId="59B025B6" w:rsidR="00F85981" w:rsidRDefault="00055599" w:rsidP="00CB482F">
      <w:pPr>
        <w:spacing w:line="360" w:lineRule="auto"/>
        <w:ind w:right="1416"/>
        <w:rPr>
          <w:b/>
          <w:bCs/>
          <w:sz w:val="28"/>
          <w:szCs w:val="28"/>
        </w:rPr>
      </w:pPr>
      <w:r>
        <w:rPr>
          <w:b/>
          <w:bCs/>
          <w:sz w:val="28"/>
          <w:szCs w:val="28"/>
        </w:rPr>
        <w:t xml:space="preserve">Bestellungen von Umformtechnik wachsen im ersten Quartal um gut ein Viertel </w:t>
      </w:r>
    </w:p>
    <w:p w14:paraId="55DD3490" w14:textId="7BB32115" w:rsidR="00CB482F" w:rsidRPr="00F85981" w:rsidRDefault="00F85981" w:rsidP="00CB482F">
      <w:pPr>
        <w:spacing w:line="360" w:lineRule="auto"/>
        <w:ind w:right="1416"/>
        <w:rPr>
          <w:b/>
          <w:bCs/>
          <w:szCs w:val="22"/>
        </w:rPr>
      </w:pPr>
      <w:r w:rsidRPr="00F85981">
        <w:rPr>
          <w:b/>
          <w:bCs/>
          <w:szCs w:val="22"/>
        </w:rPr>
        <w:t>Lieferengpässe verhageln VDW-Produktionsprognose</w:t>
      </w:r>
      <w:r w:rsidR="002F2CF8" w:rsidRPr="00F85981">
        <w:rPr>
          <w:b/>
          <w:bCs/>
          <w:szCs w:val="22"/>
        </w:rPr>
        <w:t xml:space="preserve"> </w:t>
      </w:r>
    </w:p>
    <w:p w14:paraId="1917328D" w14:textId="77777777" w:rsidR="00CB482F" w:rsidRPr="00F85981" w:rsidRDefault="00CB482F" w:rsidP="00CB482F">
      <w:pPr>
        <w:spacing w:line="360" w:lineRule="auto"/>
        <w:ind w:right="1416"/>
        <w:rPr>
          <w:szCs w:val="22"/>
        </w:rPr>
      </w:pPr>
    </w:p>
    <w:p w14:paraId="19E85CC8" w14:textId="5CEE6045" w:rsidR="004A73DB" w:rsidRDefault="00CB482F" w:rsidP="00CB482F">
      <w:pPr>
        <w:spacing w:line="360" w:lineRule="auto"/>
        <w:ind w:right="1416"/>
      </w:pPr>
      <w:r w:rsidRPr="00CB482F">
        <w:rPr>
          <w:b/>
        </w:rPr>
        <w:t xml:space="preserve">Frankfurt am Main, </w:t>
      </w:r>
      <w:r w:rsidR="004A73DB">
        <w:rPr>
          <w:b/>
        </w:rPr>
        <w:t>31</w:t>
      </w:r>
      <w:r w:rsidRPr="00CB482F">
        <w:rPr>
          <w:b/>
        </w:rPr>
        <w:t xml:space="preserve">. </w:t>
      </w:r>
      <w:r w:rsidR="004A73DB">
        <w:rPr>
          <w:b/>
        </w:rPr>
        <w:t>Mai</w:t>
      </w:r>
      <w:r w:rsidRPr="00CB482F">
        <w:rPr>
          <w:b/>
        </w:rPr>
        <w:t xml:space="preserve"> 202</w:t>
      </w:r>
      <w:r w:rsidR="002F2CF8">
        <w:rPr>
          <w:b/>
        </w:rPr>
        <w:t>2</w:t>
      </w:r>
      <w:r w:rsidRPr="00CB482F">
        <w:rPr>
          <w:b/>
        </w:rPr>
        <w:t xml:space="preserve">. </w:t>
      </w:r>
      <w:r w:rsidRPr="00CB482F">
        <w:t xml:space="preserve">– Im </w:t>
      </w:r>
      <w:r w:rsidR="004A73DB">
        <w:t>erst</w:t>
      </w:r>
      <w:r w:rsidRPr="00CB482F">
        <w:t>en Quartal 202</w:t>
      </w:r>
      <w:r w:rsidR="004A73DB">
        <w:t>2</w:t>
      </w:r>
      <w:r w:rsidRPr="00CB482F">
        <w:t xml:space="preserve"> stieg der Auftragseingang der deutschen </w:t>
      </w:r>
      <w:r w:rsidR="00055599">
        <w:t>Umformtechnik</w:t>
      </w:r>
      <w:r w:rsidRPr="00CB482F">
        <w:t xml:space="preserve"> im Vergleich zum Vorjahreszeitraum um </w:t>
      </w:r>
      <w:r w:rsidR="00055599">
        <w:t>26</w:t>
      </w:r>
      <w:r w:rsidRPr="00CB482F">
        <w:t xml:space="preserve"> Prozent. Dabei legten die Bestellungen</w:t>
      </w:r>
      <w:r w:rsidR="00055599">
        <w:t xml:space="preserve"> </w:t>
      </w:r>
      <w:r w:rsidR="004A73DB">
        <w:t xml:space="preserve">aus dem Inland </w:t>
      </w:r>
      <w:r w:rsidR="00055599">
        <w:t>um 6 Prozent, die Orders aus dem A</w:t>
      </w:r>
      <w:r w:rsidR="004A73DB">
        <w:t xml:space="preserve">usland um </w:t>
      </w:r>
      <w:r w:rsidR="00055599">
        <w:t>37</w:t>
      </w:r>
      <w:r w:rsidR="004A73DB">
        <w:t xml:space="preserve"> Prozent zu.</w:t>
      </w:r>
      <w:r w:rsidR="00F25556">
        <w:t xml:space="preserve"> Die Umformtechnik erwirtschaftete im vergangenen Jahr rund 27 Prozent der Gesamtproduktion deutscher Werkzeugmaschinen. </w:t>
      </w:r>
    </w:p>
    <w:p w14:paraId="594541B1" w14:textId="77777777" w:rsidR="004A73DB" w:rsidRDefault="004A73DB" w:rsidP="00CB482F">
      <w:pPr>
        <w:spacing w:line="360" w:lineRule="auto"/>
        <w:ind w:right="1416"/>
      </w:pPr>
    </w:p>
    <w:p w14:paraId="2F3178DC" w14:textId="20E0D63B" w:rsidR="00107646" w:rsidRDefault="00CB482F" w:rsidP="00CB482F">
      <w:pPr>
        <w:spacing w:line="360" w:lineRule="auto"/>
        <w:ind w:right="1416"/>
      </w:pPr>
      <w:r w:rsidRPr="00CB482F">
        <w:t>„</w:t>
      </w:r>
      <w:r w:rsidR="004A73DB">
        <w:t xml:space="preserve">Im ersten Quartal dieses Jahres liefen die </w:t>
      </w:r>
      <w:r w:rsidR="00DB407C">
        <w:t xml:space="preserve">Aufträge für </w:t>
      </w:r>
      <w:r w:rsidR="00F25556">
        <w:t xml:space="preserve">die beiden Segmente </w:t>
      </w:r>
      <w:r w:rsidR="004A73DB">
        <w:t>unsere Branche</w:t>
      </w:r>
      <w:r w:rsidR="00F25556">
        <w:t>, Zerspanung und Umformung,</w:t>
      </w:r>
      <w:r w:rsidR="004A73DB">
        <w:t xml:space="preserve"> nach wie vor rund“, </w:t>
      </w:r>
      <w:r w:rsidRPr="00CB482F">
        <w:t>kommentiert Dr. Wilfried Schäfer, Geschäftsführer des VDW (Verein Deutscher Werkzeugmaschinenfabriken), Frankfurt am Main, d</w:t>
      </w:r>
      <w:r w:rsidR="004A73DB">
        <w:t>as Ergebnis</w:t>
      </w:r>
      <w:r w:rsidRPr="00CB482F">
        <w:t>.</w:t>
      </w:r>
      <w:r w:rsidR="00107646">
        <w:t xml:space="preserve"> „</w:t>
      </w:r>
      <w:r w:rsidR="00801354">
        <w:t xml:space="preserve">Sie lagen </w:t>
      </w:r>
      <w:r w:rsidR="00F25556">
        <w:t xml:space="preserve">insgesamt </w:t>
      </w:r>
      <w:r w:rsidR="00801354">
        <w:t xml:space="preserve">nur noch 8 Prozent unter dem Rekordjahr 2018“, </w:t>
      </w:r>
      <w:r w:rsidR="00DB407C">
        <w:t>erläutert er weiter</w:t>
      </w:r>
      <w:r w:rsidR="00801354">
        <w:t xml:space="preserve">. Es sei jedoch zu erwarten, dass sich die Auswirkungen des </w:t>
      </w:r>
      <w:r w:rsidR="00C14967">
        <w:t>Russland-Ukraine-</w:t>
      </w:r>
      <w:r w:rsidR="00801354">
        <w:t>Krieges in den kommenden Monaten stärker zeigen werden. Darauf deute</w:t>
      </w:r>
      <w:r w:rsidR="004E5F1A">
        <w:t>n</w:t>
      </w:r>
      <w:r w:rsidR="00801354">
        <w:t xml:space="preserve"> zum einen </w:t>
      </w:r>
      <w:r w:rsidR="004E5F1A">
        <w:t xml:space="preserve">die </w:t>
      </w:r>
      <w:r w:rsidR="00801354">
        <w:t>deutlich geringeren Wachstumsraten am aktuellen Rand</w:t>
      </w:r>
      <w:r w:rsidR="00C14967">
        <w:t xml:space="preserve"> hin. Z</w:t>
      </w:r>
      <w:r w:rsidR="00801354">
        <w:t>um anderen seien die Lieferengpässe</w:t>
      </w:r>
      <w:r w:rsidR="00C14967">
        <w:t xml:space="preserve"> nach wie vor das größte Problem und</w:t>
      </w:r>
      <w:r w:rsidR="00801354">
        <w:t xml:space="preserve"> noch längst nicht behoben. „Dieses Thema wird uns noch auf </w:t>
      </w:r>
      <w:r w:rsidR="00080B46">
        <w:t>etliche Monate</w:t>
      </w:r>
      <w:r w:rsidR="00801354">
        <w:t xml:space="preserve"> begleiten“, befürchtet Schäfer. </w:t>
      </w:r>
      <w:r w:rsidR="00107646">
        <w:t xml:space="preserve"> </w:t>
      </w:r>
    </w:p>
    <w:p w14:paraId="0BAA23DC" w14:textId="77777777" w:rsidR="00107646" w:rsidRDefault="00107646" w:rsidP="00CB482F">
      <w:pPr>
        <w:spacing w:line="360" w:lineRule="auto"/>
        <w:ind w:right="1416"/>
      </w:pPr>
    </w:p>
    <w:p w14:paraId="07ED695F" w14:textId="77777777" w:rsidR="00E5449B" w:rsidRDefault="00E5449B" w:rsidP="00CB482F">
      <w:pPr>
        <w:spacing w:line="360" w:lineRule="auto"/>
        <w:ind w:right="1416"/>
      </w:pPr>
    </w:p>
    <w:p w14:paraId="347E73C3" w14:textId="77777777" w:rsidR="00E5449B" w:rsidRDefault="00E5449B" w:rsidP="00E5449B">
      <w:pPr>
        <w:spacing w:line="360" w:lineRule="auto"/>
        <w:ind w:right="1416"/>
      </w:pPr>
      <w:r>
        <w:lastRenderedPageBreak/>
        <w:t xml:space="preserve">Lieferengpässe sind auch der Grund dafür, dass die Produktion nach wie vor sehr stark hinter dem Auftragseingang herhinkt. Im ersten Quartal ist sie mit 6 Prozent nur unterproportional gestiegen. Deshalb hat der VDW seine Produktionsprognose für das laufende Jahr von 14 auf 8 Prozent Zuwachs gesenkt. </w:t>
      </w:r>
    </w:p>
    <w:p w14:paraId="722BDE2C" w14:textId="77777777" w:rsidR="00E5449B" w:rsidRDefault="00E5449B" w:rsidP="00E5449B">
      <w:pPr>
        <w:spacing w:line="360" w:lineRule="auto"/>
        <w:ind w:right="1416"/>
      </w:pPr>
      <w:r>
        <w:t xml:space="preserve">„Bisher landet die hohe Nachfrage im Bestand, denn viele Maschinen können nicht in Betrieb genommen werden, weil das eine oder andere Teil noch fehlt“, erläutert Schäfer. Als Produktion werden sie jedoch erst verbucht, nachdem die Maschinen auf Lkw oder Schiff verladen sind. Aktuell sei China die große Unbekannte. Der Lockdown in zahlreichen Großstädten und Industriezentren verhindere, dass Kunden Maschinen abnehmen und Servicepersonal zu den Kunden reisen kann. </w:t>
      </w:r>
    </w:p>
    <w:p w14:paraId="17F73220" w14:textId="77777777" w:rsidR="00E5449B" w:rsidRDefault="00E5449B" w:rsidP="00E5449B">
      <w:pPr>
        <w:spacing w:line="360" w:lineRule="auto"/>
        <w:ind w:right="1416"/>
      </w:pPr>
    </w:p>
    <w:p w14:paraId="014ABE16" w14:textId="77777777" w:rsidR="00E5449B" w:rsidRDefault="00E5449B" w:rsidP="00E5449B">
      <w:pPr>
        <w:spacing w:line="360" w:lineRule="auto"/>
        <w:ind w:right="1416"/>
      </w:pPr>
      <w:r>
        <w:t>Ähnlich wie die Produktion kamen auch die Exporte nicht in Schwung. Sie stiegen nur leicht um 1 Prozent. Europa und Amerika sind mit minus 2 bzw. minus 1 Prozent leicht rückläufig. Asien wächst um 8 Prozent, wobei Zentral- und Südasien sowie Südostasien viel deutlicher zulegen als Ostasien. Die Ausfuhren in den größten Absatzmarkt China wachsen zu Jahresbeginn mit plus 4 Prozent nur noch mäßig. Während China gut 19 Prozent der deutschen Ausfuhren aufnimmt, entfällt mit 13 Prozent ein deutlich geringerer Anteil auf den US-amerikanischen Markt. Die Exporte in die USA sanken im ersten Quartal um 6 Prozent. Italien steht im Ranking der zehn wichtigsten Absatzmärkte mit einem Plus und einem Anteil von jeweils 6 Prozent an dritter Stelle. Nach einem mageren Vorjahr haben sich die Geschäfte mit der Schweiz mit 70 Prozent Zuwachs im ersten Quartal merklich erholt. Damit kehrt sie auf Platz 4 der Rangliste zurück. Die Ausfuhren nach Österreich sind im Vergleich zum sehr starken ersten Quartal 2021 rückläufig. Die Exporte nach Polen verfehlen das Vorjahresniveau knapp. Die Niederlande zeigen sich weiterhin stark und nehmen im ersten Quartal 11 Prozent mehr Werkzeugmaschinen als im Vorjahr auf. Frankreich setzt seine Talfahrt fort und geht um 18 Prozent zurück. Mexiko und die Türkei komplettieren die Top-10 und stechen mit zweistelligen Wachstumsraten von 27 bzw. 26 Prozent positiv hervor.</w:t>
      </w:r>
    </w:p>
    <w:p w14:paraId="2B6AF7E8" w14:textId="77777777" w:rsidR="00E5449B" w:rsidRDefault="00E5449B" w:rsidP="00E5449B">
      <w:pPr>
        <w:spacing w:line="360" w:lineRule="auto"/>
        <w:ind w:right="1416"/>
      </w:pPr>
    </w:p>
    <w:p w14:paraId="41B555AD" w14:textId="77777777" w:rsidR="00E5449B" w:rsidRDefault="00E5449B" w:rsidP="00E5449B">
      <w:pPr>
        <w:spacing w:line="360" w:lineRule="auto"/>
        <w:ind w:right="1416"/>
      </w:pPr>
      <w:r>
        <w:t xml:space="preserve">Die Importe wachsen um insgesamt 20 Prozent, getrieben von der Schweiz, Japan und China, deren Lieferungen deutlich gestiegen sind. </w:t>
      </w:r>
    </w:p>
    <w:p w14:paraId="64A49D62" w14:textId="77777777" w:rsidR="00E5449B" w:rsidRDefault="00E5449B" w:rsidP="00E5449B">
      <w:pPr>
        <w:spacing w:line="360" w:lineRule="auto"/>
        <w:ind w:right="1416"/>
      </w:pPr>
    </w:p>
    <w:p w14:paraId="1A369E5B" w14:textId="77777777" w:rsidR="00E5449B" w:rsidRDefault="00E5449B" w:rsidP="00E5449B">
      <w:pPr>
        <w:spacing w:line="360" w:lineRule="auto"/>
        <w:ind w:right="1416"/>
      </w:pPr>
      <w:r>
        <w:t xml:space="preserve">„Alles in allem sind die Unsicherheiten für die wirtschaftliche Entwicklung unserer Branche nach wie vor enorm“, resümiert VDW-Geschäftsführer Schäfer. „Ein lange anhaltender Krieg in der Ukraine, weitere Höhenflüge bei den Preisen für Energie, Logistik und Rohstoffe sowie ein kompletter Stopp der Öl- und Gaslieferungen aus Russland hätten deutliche Auswirkungen. Gleichwohl stützt natürlich der hohe Auftragsbestand in den Büchern. Damit bestehen Chancen, dass ein Teil des diesjährigen Wachstumsverlusts im kommenden Jahr zu Umsatz werden. Auch könnte der internationale Werkzeugmaschinenverbrauch, der im laufenden Jahr mit 10 Prozent Plus veranschlagt wird, Rückenwind bescheren“, so Schäfer abschließend. </w:t>
      </w:r>
    </w:p>
    <w:p w14:paraId="3C65D629" w14:textId="77777777" w:rsidR="00E5449B" w:rsidRDefault="00E5449B" w:rsidP="00E5449B">
      <w:pPr>
        <w:spacing w:line="360" w:lineRule="auto"/>
        <w:ind w:right="1416"/>
      </w:pPr>
    </w:p>
    <w:p w14:paraId="29D5B937" w14:textId="77777777" w:rsidR="00E5449B" w:rsidRPr="00E5449B" w:rsidRDefault="00E5449B" w:rsidP="00E5449B">
      <w:pPr>
        <w:spacing w:line="240" w:lineRule="auto"/>
        <w:ind w:right="1418"/>
        <w:rPr>
          <w:b/>
          <w:bCs/>
          <w:sz w:val="18"/>
          <w:szCs w:val="18"/>
        </w:rPr>
      </w:pPr>
      <w:r w:rsidRPr="00E5449B">
        <w:rPr>
          <w:b/>
          <w:bCs/>
          <w:sz w:val="18"/>
          <w:szCs w:val="18"/>
        </w:rPr>
        <w:t>Hintergrund</w:t>
      </w:r>
    </w:p>
    <w:p w14:paraId="072F300D" w14:textId="77777777" w:rsidR="00E5449B" w:rsidRPr="00E5449B" w:rsidRDefault="00E5449B" w:rsidP="00E5449B">
      <w:pPr>
        <w:spacing w:line="240" w:lineRule="auto"/>
        <w:ind w:right="1418"/>
        <w:rPr>
          <w:sz w:val="18"/>
          <w:szCs w:val="18"/>
        </w:rPr>
      </w:pPr>
      <w:r w:rsidRPr="00E5449B">
        <w:rPr>
          <w:sz w:val="18"/>
          <w:szCs w:val="18"/>
        </w:rPr>
        <w:t>Die deutsche Werkzeugmaschinenindustrie gehört zu den fünf größten Fachzweigen im Maschinenbau. Sie liefert Produktionstechnologie für die Metallbearbeitung in alle Industriezweige und trägt maßgeblich zu Innovation und Produktivitätsfortschritt in der Industrie bei. Durch ihre absolute Schlüsselstellung für die industrielle Produktion ist ihre Entwicklung ein wichtiger Indikator für die wirtschaftliche Dynamik der gesamten Industrie. 2021 produzierte die Branche mit durchschnittlich rd. 64.900 Beschäftigten (Betriebe mit mehr als 50 Mitarbeitern) Maschinen und Dienstleistungen im Wert von rund 12,7 Mrd. Euro.</w:t>
      </w:r>
    </w:p>
    <w:p w14:paraId="4D13E08B" w14:textId="77777777" w:rsidR="00E5449B" w:rsidRDefault="00E5449B" w:rsidP="00CB482F">
      <w:pPr>
        <w:spacing w:line="360" w:lineRule="auto"/>
        <w:ind w:right="1416"/>
      </w:pPr>
    </w:p>
    <w:p w14:paraId="5E7D3160" w14:textId="77777777" w:rsidR="00CB482F" w:rsidRPr="00CB482F" w:rsidRDefault="00CB482F" w:rsidP="00CB482F">
      <w:pPr>
        <w:spacing w:line="240" w:lineRule="auto"/>
      </w:pPr>
      <w:r w:rsidRPr="00CB482F">
        <w:t>Bild:</w:t>
      </w:r>
    </w:p>
    <w:p w14:paraId="03DC237E" w14:textId="77777777" w:rsidR="00CB482F" w:rsidRPr="00CB482F" w:rsidRDefault="00CB482F" w:rsidP="00CB482F">
      <w:pPr>
        <w:spacing w:line="360" w:lineRule="auto"/>
        <w:ind w:right="1416"/>
      </w:pPr>
      <w:r w:rsidRPr="00CB482F">
        <w:t>Dr. Wilfried Schäfer, Geschäftsführer VDW (Verein Deutscher Werkzeugmaschinenfabriken), Frankfurt am Main</w:t>
      </w:r>
    </w:p>
    <w:p w14:paraId="2F4A56AA" w14:textId="77777777" w:rsidR="00CB482F" w:rsidRPr="00CB482F" w:rsidRDefault="00CB482F" w:rsidP="00CB482F">
      <w:pPr>
        <w:spacing w:line="360" w:lineRule="auto"/>
        <w:ind w:right="1416"/>
      </w:pPr>
    </w:p>
    <w:p w14:paraId="51EB92F2" w14:textId="77777777" w:rsidR="00CB482F" w:rsidRPr="00CB482F" w:rsidRDefault="00CB482F" w:rsidP="00CB482F">
      <w:pPr>
        <w:spacing w:line="360" w:lineRule="auto"/>
        <w:ind w:right="1416"/>
      </w:pPr>
      <w:r w:rsidRPr="00CB482F">
        <w:t xml:space="preserve">Grafik: Auftragseingang in der deutschen Werkzeugmaschinenindustrie </w:t>
      </w:r>
    </w:p>
    <w:p w14:paraId="557129ED" w14:textId="77777777" w:rsidR="00CB482F" w:rsidRPr="00CB482F" w:rsidRDefault="00CB482F" w:rsidP="00CB482F">
      <w:pPr>
        <w:spacing w:line="360" w:lineRule="auto"/>
        <w:ind w:right="1416"/>
      </w:pPr>
    </w:p>
    <w:p w14:paraId="3CE058FB" w14:textId="77777777" w:rsidR="00F8755C" w:rsidRDefault="00CB482F" w:rsidP="00345A78">
      <w:pPr>
        <w:rPr>
          <w:rFonts w:cs="Arial"/>
        </w:rPr>
      </w:pPr>
      <w:r w:rsidRPr="00CB482F">
        <w:t xml:space="preserve">Diese Presseinformation erhalten Sie auch </w:t>
      </w:r>
      <w:r w:rsidRPr="00CB482F">
        <w:rPr>
          <w:rFonts w:cs="Arial"/>
        </w:rPr>
        <w:t xml:space="preserve">direkt unter </w:t>
      </w:r>
    </w:p>
    <w:p w14:paraId="529AA88A" w14:textId="77777777" w:rsidR="00F8755C" w:rsidRDefault="00F8755C" w:rsidP="00345A78">
      <w:pPr>
        <w:rPr>
          <w:rStyle w:val="Hyperlink"/>
          <w:rFonts w:cs="Arial"/>
        </w:rPr>
      </w:pPr>
      <w:hyperlink r:id="rId6" w:history="1">
        <w:r w:rsidRPr="00973C54">
          <w:rPr>
            <w:rStyle w:val="Hyperlink"/>
            <w:rFonts w:cs="Arial"/>
          </w:rPr>
          <w:t>https://vdw.de/presse-oeffentlichk</w:t>
        </w:r>
        <w:r w:rsidRPr="00973C54">
          <w:rPr>
            <w:rStyle w:val="Hyperlink"/>
            <w:rFonts w:cs="Arial"/>
          </w:rPr>
          <w:t>e</w:t>
        </w:r>
        <w:r w:rsidRPr="00973C54">
          <w:rPr>
            <w:rStyle w:val="Hyperlink"/>
            <w:rFonts w:cs="Arial"/>
          </w:rPr>
          <w:t>it/pressemitteilungen/</w:t>
        </w:r>
      </w:hyperlink>
      <w:r w:rsidR="00345A78">
        <w:rPr>
          <w:rStyle w:val="Hyperlink"/>
          <w:rFonts w:cs="Arial"/>
        </w:rPr>
        <w:t xml:space="preserve">. </w:t>
      </w:r>
    </w:p>
    <w:p w14:paraId="1829E067" w14:textId="18F037D5" w:rsidR="00CB482F" w:rsidRPr="00CB482F" w:rsidRDefault="00CB482F" w:rsidP="00345A78">
      <w:r w:rsidRPr="00CB482F">
        <w:t xml:space="preserve">Grafiken und Bilder finden Sie im Internet auch online unter </w:t>
      </w:r>
      <w:hyperlink r:id="rId7" w:history="1">
        <w:r w:rsidRPr="00CB482F">
          <w:rPr>
            <w:color w:val="0000FF" w:themeColor="hyperlink"/>
            <w:u w:val="single"/>
          </w:rPr>
          <w:t>www.vdw.de</w:t>
        </w:r>
      </w:hyperlink>
      <w:r w:rsidRPr="00CB482F">
        <w:t xml:space="preserve"> im Bereich Presse. Besuchen Sie den VDW auch in den Social-Media-Kanälen </w:t>
      </w:r>
    </w:p>
    <w:p w14:paraId="19928FB6" w14:textId="77777777" w:rsidR="00CB482F" w:rsidRPr="00CB482F" w:rsidRDefault="00CB482F" w:rsidP="00CB482F">
      <w:pPr>
        <w:spacing w:line="360" w:lineRule="auto"/>
        <w:ind w:right="1416"/>
      </w:pPr>
    </w:p>
    <w:p w14:paraId="269FE6C0" w14:textId="77777777" w:rsidR="00CB482F" w:rsidRPr="00CB482F" w:rsidRDefault="00CB482F" w:rsidP="00CB482F">
      <w:pPr>
        <w:spacing w:line="360" w:lineRule="auto"/>
        <w:ind w:right="1416"/>
      </w:pPr>
      <w:r w:rsidRPr="00CB482F">
        <w:rPr>
          <w:rFonts w:eastAsia="Calibri" w:cs="Arial"/>
          <w:i/>
          <w:noProof/>
          <w:color w:val="0070C0"/>
        </w:rPr>
        <w:drawing>
          <wp:inline distT="0" distB="0" distL="0" distR="0" wp14:anchorId="69513B05" wp14:editId="6C52170A">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sidRPr="00CB482F">
        <w:rPr>
          <w:rFonts w:eastAsia="Calibri" w:cs="Arial"/>
          <w:i/>
          <w:color w:val="0070C0"/>
          <w:lang w:eastAsia="zh-CN"/>
        </w:rPr>
        <w:tab/>
      </w:r>
      <w:r w:rsidRPr="00CB482F">
        <w:rPr>
          <w:rFonts w:eastAsia="Calibri" w:cs="Arial"/>
          <w:i/>
          <w:color w:val="0070C0"/>
          <w:lang w:eastAsia="zh-CN"/>
        </w:rPr>
        <w:tab/>
      </w:r>
      <w:hyperlink r:id="rId9" w:history="1">
        <w:r w:rsidRPr="00CB482F">
          <w:rPr>
            <w:color w:val="0000FF" w:themeColor="hyperlink"/>
            <w:u w:val="single"/>
          </w:rPr>
          <w:t>www.</w:t>
        </w:r>
        <w:r w:rsidRPr="00CB482F">
          <w:rPr>
            <w:rFonts w:eastAsia="Calibri" w:cs="Arial"/>
            <w:i/>
            <w:color w:val="0000FF" w:themeColor="hyperlink"/>
            <w:u w:val="single"/>
            <w:lang w:eastAsia="zh-CN"/>
          </w:rPr>
          <w:t>de.industryarena.com/vdw</w:t>
        </w:r>
      </w:hyperlink>
    </w:p>
    <w:p w14:paraId="5F641EFA" w14:textId="77777777" w:rsidR="00CB482F" w:rsidRPr="00CB482F" w:rsidRDefault="00CB482F" w:rsidP="00CB482F">
      <w:pPr>
        <w:autoSpaceDE w:val="0"/>
        <w:autoSpaceDN w:val="0"/>
        <w:adjustRightInd w:val="0"/>
        <w:spacing w:line="240" w:lineRule="auto"/>
        <w:ind w:right="1416"/>
        <w:rPr>
          <w:rFonts w:eastAsia="Calibri"/>
          <w:color w:val="0000FF" w:themeColor="hyperlink"/>
          <w:u w:val="single"/>
        </w:rPr>
      </w:pPr>
      <w:r w:rsidRPr="00CB482F">
        <w:rPr>
          <w:rFonts w:eastAsia="Calibri" w:cs="Arial"/>
          <w:i/>
          <w:noProof/>
          <w:color w:val="0070C0"/>
        </w:rPr>
        <w:drawing>
          <wp:inline distT="0" distB="0" distL="0" distR="0" wp14:anchorId="244ACDE0" wp14:editId="64C8CBEF">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B482F">
        <w:rPr>
          <w:rFonts w:eastAsia="Calibri" w:cs="Arial"/>
          <w:i/>
          <w:color w:val="0070C0"/>
        </w:rPr>
        <w:tab/>
      </w:r>
      <w:r w:rsidRPr="00CB482F">
        <w:rPr>
          <w:rFonts w:eastAsia="Calibri" w:cs="Arial"/>
          <w:i/>
          <w:color w:val="0070C0"/>
        </w:rPr>
        <w:tab/>
      </w:r>
      <w:hyperlink r:id="rId11" w:history="1">
        <w:r w:rsidRPr="00CB482F">
          <w:rPr>
            <w:rFonts w:eastAsia="Calibri" w:cs="Arial"/>
            <w:i/>
            <w:color w:val="0000FF" w:themeColor="hyperlink"/>
            <w:u w:val="single"/>
          </w:rPr>
          <w:t>www.youtube.com/metaltradefair</w:t>
        </w:r>
      </w:hyperlink>
    </w:p>
    <w:p w14:paraId="1F0544C0" w14:textId="77777777" w:rsidR="00CB482F" w:rsidRPr="00CB482F" w:rsidRDefault="00CB482F" w:rsidP="00CB482F">
      <w:pPr>
        <w:autoSpaceDE w:val="0"/>
        <w:autoSpaceDN w:val="0"/>
        <w:adjustRightInd w:val="0"/>
        <w:spacing w:line="240" w:lineRule="auto"/>
        <w:ind w:right="1416"/>
        <w:rPr>
          <w:rFonts w:cs="Arial"/>
          <w:i/>
          <w:iCs/>
          <w:color w:val="0000FF" w:themeColor="hyperlink"/>
          <w:kern w:val="0"/>
          <w:szCs w:val="22"/>
          <w:u w:val="single"/>
          <w:lang w:eastAsia="en-US"/>
        </w:rPr>
      </w:pPr>
      <w:r w:rsidRPr="00CB482F">
        <w:rPr>
          <w:rFonts w:ascii="Tms Rmn" w:hAnsi="Tms Rmn"/>
          <w:noProof/>
          <w:kern w:val="0"/>
          <w:sz w:val="24"/>
          <w:szCs w:val="24"/>
        </w:rPr>
        <w:drawing>
          <wp:inline distT="0" distB="0" distL="0" distR="0" wp14:anchorId="06448D8F" wp14:editId="0EF7527C">
            <wp:extent cx="358140" cy="35814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CB482F">
        <w:rPr>
          <w:rFonts w:cs="Arial"/>
          <w:color w:val="000000"/>
          <w:kern w:val="0"/>
          <w:szCs w:val="22"/>
          <w:lang w:eastAsia="en-US"/>
        </w:rPr>
        <w:tab/>
      </w:r>
      <w:r w:rsidRPr="00CB482F">
        <w:rPr>
          <w:rFonts w:cs="Arial"/>
          <w:color w:val="000000"/>
          <w:kern w:val="0"/>
          <w:szCs w:val="22"/>
          <w:lang w:eastAsia="en-US"/>
        </w:rPr>
        <w:tab/>
      </w:r>
      <w:hyperlink r:id="rId13" w:history="1">
        <w:r w:rsidRPr="00CB482F">
          <w:rPr>
            <w:rFonts w:cs="Arial"/>
            <w:i/>
            <w:iCs/>
            <w:color w:val="0000FF" w:themeColor="hyperlink"/>
            <w:kern w:val="0"/>
            <w:szCs w:val="22"/>
            <w:u w:val="single"/>
            <w:lang w:eastAsia="en-US"/>
          </w:rPr>
          <w:t>www.twitter.com/VDWonline</w:t>
        </w:r>
      </w:hyperlink>
    </w:p>
    <w:p w14:paraId="6F009F6A" w14:textId="7497FB37" w:rsidR="00236A5F" w:rsidRDefault="00CB482F" w:rsidP="00446389">
      <w:pPr>
        <w:autoSpaceDE w:val="0"/>
        <w:autoSpaceDN w:val="0"/>
        <w:adjustRightInd w:val="0"/>
        <w:spacing w:line="240" w:lineRule="auto"/>
      </w:pPr>
      <w:r w:rsidRPr="00CB482F">
        <w:rPr>
          <w:rFonts w:ascii="Effra" w:hAnsi="Effra"/>
          <w:noProof/>
        </w:rPr>
        <w:drawing>
          <wp:inline distT="0" distB="0" distL="0" distR="0" wp14:anchorId="412426FA" wp14:editId="22F82D0C">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CB482F">
        <w:rPr>
          <w:rFonts w:ascii="Effra" w:hAnsi="Effra"/>
        </w:rPr>
        <w:tab/>
      </w:r>
      <w:r w:rsidRPr="00CB482F">
        <w:rPr>
          <w:rFonts w:ascii="Effra" w:hAnsi="Effra"/>
        </w:rPr>
        <w:tab/>
      </w:r>
      <w:hyperlink r:id="rId15" w:history="1">
        <w:r w:rsidRPr="00CB482F">
          <w:rPr>
            <w:rFonts w:cs="Arial"/>
            <w:i/>
            <w:iCs/>
            <w:color w:val="0000FF" w:themeColor="hyperlink"/>
            <w:u w:val="single"/>
          </w:rPr>
          <w:t>www.linkedin.com/company/</w:t>
        </w:r>
      </w:hyperlink>
      <w:r w:rsidRPr="00CB482F">
        <w:rPr>
          <w:rFonts w:cs="Arial"/>
          <w:i/>
          <w:iCs/>
          <w:color w:val="0000FF"/>
          <w:u w:val="single"/>
        </w:rPr>
        <w:t>vdw-frankfurt</w:t>
      </w:r>
    </w:p>
    <w:p w14:paraId="05F091EF" w14:textId="77777777" w:rsidR="00F01E07" w:rsidRDefault="00F01E07"/>
    <w:sectPr w:rsidR="00F01E07" w:rsidSect="00CB5C29">
      <w:headerReference w:type="default" r:id="rId16"/>
      <w:footerReference w:type="default" r:id="rId17"/>
      <w:headerReference w:type="first" r:id="rId18"/>
      <w:footerReference w:type="first" r:id="rId19"/>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D18E" w14:textId="77777777" w:rsidR="0042443D" w:rsidRDefault="0042443D">
      <w:r>
        <w:separator/>
      </w:r>
    </w:p>
  </w:endnote>
  <w:endnote w:type="continuationSeparator" w:id="0">
    <w:p w14:paraId="1889C3FF" w14:textId="77777777" w:rsidR="0042443D" w:rsidRDefault="0042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Effra">
    <w:panose1 w:val="02000506080000020004"/>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F545" w14:textId="77777777" w:rsidR="00F01E07" w:rsidRDefault="00F01E0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231E" w14:textId="77777777"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AC69F7" w14:paraId="4ED1515C" w14:textId="77777777">
      <w:tc>
        <w:tcPr>
          <w:tcW w:w="2442" w:type="dxa"/>
        </w:tcPr>
        <w:p w14:paraId="05A9F84A" w14:textId="77777777" w:rsidR="0050117F" w:rsidRPr="00362226" w:rsidRDefault="0050117F" w:rsidP="001835F7">
          <w:pPr>
            <w:pStyle w:val="FZ"/>
          </w:pPr>
          <w:r w:rsidRPr="00362226">
            <w:t>Verein Deutscher</w:t>
          </w:r>
        </w:p>
        <w:p w14:paraId="64A6DFCF" w14:textId="77777777" w:rsidR="0050117F" w:rsidRPr="00362226" w:rsidRDefault="0050117F" w:rsidP="001835F7">
          <w:pPr>
            <w:pStyle w:val="FZ"/>
          </w:pPr>
          <w:r w:rsidRPr="00362226">
            <w:t>Werkzeugmaschinenfabriken e.V.</w:t>
          </w:r>
        </w:p>
        <w:p w14:paraId="70E4F97D" w14:textId="77777777" w:rsidR="0050117F" w:rsidRDefault="0050117F" w:rsidP="001835F7">
          <w:pPr>
            <w:pStyle w:val="FZ"/>
          </w:pPr>
        </w:p>
      </w:tc>
      <w:tc>
        <w:tcPr>
          <w:tcW w:w="2548" w:type="dxa"/>
        </w:tcPr>
        <w:p w14:paraId="1B4422D4" w14:textId="77777777" w:rsidR="0050117F" w:rsidRDefault="0050117F" w:rsidP="001835F7">
          <w:pPr>
            <w:pStyle w:val="FZ"/>
          </w:pPr>
          <w:r>
            <w:t>Vorsitzende</w:t>
          </w:r>
          <w:r w:rsidRPr="009F2281">
            <w:rPr>
              <w:spacing w:val="20"/>
              <w:szCs w:val="14"/>
            </w:rPr>
            <w:t>r/</w:t>
          </w:r>
          <w:r>
            <w:t>Chairman:</w:t>
          </w:r>
        </w:p>
        <w:p w14:paraId="1FF8E095" w14:textId="1785B1E4" w:rsidR="0050117F" w:rsidRDefault="00921790" w:rsidP="001835F7">
          <w:pPr>
            <w:pStyle w:val="FZ"/>
          </w:pPr>
          <w:r>
            <w:t>Franz-Xaver Bernhard</w:t>
          </w:r>
        </w:p>
        <w:p w14:paraId="29CC6522" w14:textId="77777777" w:rsidR="0050117F" w:rsidRDefault="0050117F" w:rsidP="001835F7">
          <w:pPr>
            <w:pStyle w:val="FZ"/>
          </w:pPr>
          <w:r>
            <w:t>Geschäftsführe</w:t>
          </w:r>
          <w:r w:rsidRPr="009F2281">
            <w:rPr>
              <w:spacing w:val="20"/>
              <w:szCs w:val="14"/>
            </w:rPr>
            <w:t>r/</w:t>
          </w:r>
          <w:r w:rsidR="00DC17E9">
            <w:t xml:space="preserve">Executive </w:t>
          </w:r>
          <w:proofErr w:type="spellStart"/>
          <w:r w:rsidR="00DC17E9">
            <w:t>Director</w:t>
          </w:r>
          <w:proofErr w:type="spellEnd"/>
          <w:r>
            <w:t>:</w:t>
          </w:r>
        </w:p>
        <w:p w14:paraId="21509B40" w14:textId="77777777" w:rsidR="0050117F" w:rsidRDefault="0050117F" w:rsidP="001835F7">
          <w:pPr>
            <w:pStyle w:val="FZ"/>
          </w:pPr>
          <w:r>
            <w:t>Dr.-Ing. Wilfried Schäfer</w:t>
          </w:r>
        </w:p>
      </w:tc>
      <w:tc>
        <w:tcPr>
          <w:tcW w:w="2799" w:type="dxa"/>
        </w:tcPr>
        <w:p w14:paraId="2C60AE2F" w14:textId="77777777" w:rsidR="0050117F" w:rsidRDefault="0050117F" w:rsidP="001835F7">
          <w:pPr>
            <w:pStyle w:val="FZ"/>
          </w:pPr>
          <w:r>
            <w:t>Registergerich</w:t>
          </w:r>
          <w:r w:rsidRPr="009F2281">
            <w:rPr>
              <w:spacing w:val="20"/>
              <w:szCs w:val="14"/>
            </w:rPr>
            <w:t>t/</w:t>
          </w:r>
          <w:r>
            <w:t>Registration Office: Amtsgericht Frankfurt am Main</w:t>
          </w:r>
        </w:p>
        <w:p w14:paraId="140702F0" w14:textId="77777777" w:rsidR="0050117F" w:rsidRPr="0052444D" w:rsidRDefault="0050117F" w:rsidP="001835F7">
          <w:pPr>
            <w:pStyle w:val="FZ"/>
            <w:rPr>
              <w:lang w:val="en-GB"/>
            </w:rPr>
          </w:pPr>
          <w:proofErr w:type="spellStart"/>
          <w:r w:rsidRPr="0052444D">
            <w:rPr>
              <w:lang w:val="en-GB"/>
            </w:rPr>
            <w:t>Vereinsregiste</w:t>
          </w:r>
          <w:r w:rsidRPr="0052444D">
            <w:rPr>
              <w:spacing w:val="20"/>
              <w:szCs w:val="14"/>
              <w:lang w:val="en-GB"/>
            </w:rPr>
            <w:t>r</w:t>
          </w:r>
          <w:proofErr w:type="spellEnd"/>
          <w:r w:rsidRPr="0052444D">
            <w:rPr>
              <w:spacing w:val="20"/>
              <w:szCs w:val="14"/>
              <w:lang w:val="en-GB"/>
            </w:rPr>
            <w:t>/</w:t>
          </w:r>
          <w:r w:rsidRPr="0052444D">
            <w:rPr>
              <w:lang w:val="en-GB"/>
            </w:rPr>
            <w:t>Society Register: VR4966</w:t>
          </w:r>
        </w:p>
        <w:p w14:paraId="6C087E10" w14:textId="77777777" w:rsidR="0050117F" w:rsidRPr="0052444D" w:rsidRDefault="0050117F" w:rsidP="001835F7">
          <w:pPr>
            <w:pStyle w:val="FZ"/>
            <w:rPr>
              <w:szCs w:val="14"/>
              <w:lang w:val="en-GB"/>
            </w:rPr>
          </w:pPr>
          <w:r w:rsidRPr="0052444D">
            <w:rPr>
              <w:szCs w:val="14"/>
              <w:lang w:val="en-GB"/>
            </w:rPr>
            <w:t>Ust.ID-Nr</w:t>
          </w:r>
          <w:r w:rsidRPr="0052444D">
            <w:rPr>
              <w:spacing w:val="20"/>
              <w:szCs w:val="14"/>
              <w:lang w:val="en-GB"/>
            </w:rPr>
            <w:t>./</w:t>
          </w:r>
          <w:r w:rsidRPr="0052444D">
            <w:rPr>
              <w:szCs w:val="14"/>
              <w:lang w:val="en-GB"/>
            </w:rPr>
            <w:t>VAT No.: DE 114 10 88 36</w:t>
          </w:r>
        </w:p>
      </w:tc>
      <w:tc>
        <w:tcPr>
          <w:tcW w:w="2077" w:type="dxa"/>
        </w:tcPr>
        <w:p w14:paraId="1CD91397" w14:textId="77777777" w:rsidR="0050117F" w:rsidRPr="0052444D" w:rsidRDefault="0050117F" w:rsidP="001835F7">
          <w:pPr>
            <w:pStyle w:val="FZ"/>
            <w:rPr>
              <w:b/>
              <w:lang w:val="en-GB"/>
            </w:rPr>
          </w:pPr>
        </w:p>
      </w:tc>
    </w:tr>
  </w:tbl>
  <w:p w14:paraId="4F2B1787" w14:textId="77777777" w:rsidR="0050117F" w:rsidRPr="0052444D" w:rsidRDefault="0050117F" w:rsidP="0050117F">
    <w:pPr>
      <w:pStyle w:val="Fuzeile"/>
      <w:spacing w:line="20" w:lineRule="exact"/>
      <w:rPr>
        <w:sz w:val="2"/>
        <w:lang w:val="en-GB"/>
      </w:rPr>
    </w:pPr>
  </w:p>
  <w:p w14:paraId="0350E7E1" w14:textId="77777777" w:rsidR="0050117F" w:rsidRDefault="0050117F" w:rsidP="0050117F">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B383" w14:textId="77777777" w:rsidR="0042443D" w:rsidRDefault="0042443D">
      <w:r>
        <w:separator/>
      </w:r>
    </w:p>
  </w:footnote>
  <w:footnote w:type="continuationSeparator" w:id="0">
    <w:p w14:paraId="1BABC8D1" w14:textId="77777777" w:rsidR="0042443D" w:rsidRDefault="0042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14:paraId="168AC4C8" w14:textId="77777777">
      <w:trPr>
        <w:trHeight w:hRule="exact" w:val="1950"/>
      </w:trPr>
      <w:tc>
        <w:tcPr>
          <w:tcW w:w="7655" w:type="dxa"/>
        </w:tcPr>
        <w:p w14:paraId="04BA6130" w14:textId="4D88689C" w:rsidR="00F01E07" w:rsidRDefault="00F01E07">
          <w:r>
            <w:t xml:space="preserve">Seite </w:t>
          </w:r>
          <w:r>
            <w:fldChar w:fldCharType="begin"/>
          </w:r>
          <w:r>
            <w:instrText xml:space="preserve"> PAGE </w:instrText>
          </w:r>
          <w:r>
            <w:fldChar w:fldCharType="separate"/>
          </w:r>
          <w:r w:rsidR="00236A5F">
            <w:rPr>
              <w:noProof/>
            </w:rPr>
            <w:t>2</w:t>
          </w:r>
          <w:r>
            <w:fldChar w:fldCharType="end"/>
          </w:r>
          <w:r>
            <w:t>/</w:t>
          </w:r>
          <w:r>
            <w:fldChar w:fldCharType="begin"/>
          </w:r>
          <w:r>
            <w:instrText xml:space="preserve"> NUMPAGES </w:instrText>
          </w:r>
          <w:r>
            <w:fldChar w:fldCharType="separate"/>
          </w:r>
          <w:r w:rsidR="00236A5F">
            <w:rPr>
              <w:noProof/>
            </w:rPr>
            <w:t>2</w:t>
          </w:r>
          <w:r>
            <w:fldChar w:fldCharType="end"/>
          </w:r>
          <w:r>
            <w:t xml:space="preserve"> · VDW · </w:t>
          </w:r>
          <w:r w:rsidR="00080B46">
            <w:t>31. Mai</w:t>
          </w:r>
          <w:r w:rsidR="00107646">
            <w:t xml:space="preserve"> 2022</w:t>
          </w:r>
        </w:p>
      </w:tc>
      <w:tc>
        <w:tcPr>
          <w:tcW w:w="2608" w:type="dxa"/>
        </w:tcPr>
        <w:p w14:paraId="7D2F317F" w14:textId="77777777" w:rsidR="00F01E07" w:rsidRDefault="00F01E07"/>
      </w:tc>
    </w:tr>
  </w:tbl>
  <w:p w14:paraId="64ABF902" w14:textId="77777777" w:rsidR="00F01E07" w:rsidRDefault="00F01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hRule="exact" w:val="1920"/>
      </w:trPr>
      <w:tc>
        <w:tcPr>
          <w:tcW w:w="10348" w:type="dxa"/>
        </w:tcPr>
        <w:p w14:paraId="55AB46F6" w14:textId="77777777" w:rsidR="001835F7" w:rsidRDefault="001835F7" w:rsidP="001835F7">
          <w:pPr>
            <w:pStyle w:val="Kopf1"/>
          </w:pPr>
          <w:r w:rsidRPr="009156D4">
            <w:t>Verein Deutscher Werkzeugmaschinenfabriken</w:t>
          </w:r>
          <w:r>
            <w:rPr>
              <w:sz w:val="24"/>
            </w:rPr>
            <w:tab/>
          </w:r>
          <w:r w:rsidR="004632AB">
            <w:rPr>
              <w:noProof/>
              <w:lang w:val="en-US" w:eastAsia="en-US"/>
            </w:rPr>
            <w:drawing>
              <wp:inline distT="0" distB="0" distL="0" distR="0" wp14:anchorId="4774A7F6" wp14:editId="615C5611">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26CE316C" w14:textId="77777777" w:rsidR="00F01E07" w:rsidRDefault="00F01E07">
          <w:pPr>
            <w:pStyle w:val="Titel1"/>
          </w:pPr>
        </w:p>
      </w:tc>
    </w:tr>
  </w:tbl>
  <w:p w14:paraId="018850AB" w14:textId="77777777" w:rsidR="00F01E07" w:rsidRDefault="00F01E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12C6"/>
    <w:rsid w:val="00037400"/>
    <w:rsid w:val="00053370"/>
    <w:rsid w:val="00055599"/>
    <w:rsid w:val="00080B46"/>
    <w:rsid w:val="000D1379"/>
    <w:rsid w:val="000D6B28"/>
    <w:rsid w:val="0010603D"/>
    <w:rsid w:val="00107646"/>
    <w:rsid w:val="0012243F"/>
    <w:rsid w:val="00146D7A"/>
    <w:rsid w:val="00175F48"/>
    <w:rsid w:val="001835F7"/>
    <w:rsid w:val="001A0A28"/>
    <w:rsid w:val="001B0FCC"/>
    <w:rsid w:val="00236A5F"/>
    <w:rsid w:val="002F2CF8"/>
    <w:rsid w:val="00336067"/>
    <w:rsid w:val="00345A78"/>
    <w:rsid w:val="00401FC4"/>
    <w:rsid w:val="00416510"/>
    <w:rsid w:val="00423CD2"/>
    <w:rsid w:val="0042443D"/>
    <w:rsid w:val="0043362F"/>
    <w:rsid w:val="00446389"/>
    <w:rsid w:val="00450AFD"/>
    <w:rsid w:val="0045618F"/>
    <w:rsid w:val="004632AB"/>
    <w:rsid w:val="004A73DB"/>
    <w:rsid w:val="004B02D3"/>
    <w:rsid w:val="004E5BAC"/>
    <w:rsid w:val="004E5F1A"/>
    <w:rsid w:val="0050117F"/>
    <w:rsid w:val="0052444D"/>
    <w:rsid w:val="00532E73"/>
    <w:rsid w:val="005B1EC3"/>
    <w:rsid w:val="005B2D7A"/>
    <w:rsid w:val="005D39CC"/>
    <w:rsid w:val="006221AC"/>
    <w:rsid w:val="0068521C"/>
    <w:rsid w:val="006A7149"/>
    <w:rsid w:val="006F2611"/>
    <w:rsid w:val="0070554D"/>
    <w:rsid w:val="007669ED"/>
    <w:rsid w:val="00777458"/>
    <w:rsid w:val="00792D91"/>
    <w:rsid w:val="00792F66"/>
    <w:rsid w:val="00794D1D"/>
    <w:rsid w:val="007B6219"/>
    <w:rsid w:val="00801354"/>
    <w:rsid w:val="009170BD"/>
    <w:rsid w:val="00921790"/>
    <w:rsid w:val="00A232D2"/>
    <w:rsid w:val="00AC69F7"/>
    <w:rsid w:val="00AD600D"/>
    <w:rsid w:val="00B05E8E"/>
    <w:rsid w:val="00B1593E"/>
    <w:rsid w:val="00B92FD3"/>
    <w:rsid w:val="00BC6836"/>
    <w:rsid w:val="00C14967"/>
    <w:rsid w:val="00C710CB"/>
    <w:rsid w:val="00CB482F"/>
    <w:rsid w:val="00CB5C29"/>
    <w:rsid w:val="00DB3C0E"/>
    <w:rsid w:val="00DB407C"/>
    <w:rsid w:val="00DC17E9"/>
    <w:rsid w:val="00DE6BA2"/>
    <w:rsid w:val="00E3021E"/>
    <w:rsid w:val="00E5449B"/>
    <w:rsid w:val="00EF0F35"/>
    <w:rsid w:val="00F01E07"/>
    <w:rsid w:val="00F241B3"/>
    <w:rsid w:val="00F25556"/>
    <w:rsid w:val="00F32587"/>
    <w:rsid w:val="00F85981"/>
    <w:rsid w:val="00F8755C"/>
    <w:rsid w:val="00FA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DAC734"/>
  <w15:docId w15:val="{6DFCF907-0EC2-4DBA-BB99-EF8BDD48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de-DE"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de-DE" w:eastAsia="de-DE"/>
    </w:rPr>
  </w:style>
  <w:style w:type="paragraph" w:styleId="berarbeitung">
    <w:name w:val="Revision"/>
    <w:hidden/>
    <w:uiPriority w:val="99"/>
    <w:semiHidden/>
    <w:rsid w:val="00AC69F7"/>
    <w:rPr>
      <w:rFonts w:ascii="Arial" w:hAnsi="Arial"/>
      <w:kern w:val="4"/>
      <w:sz w:val="22"/>
      <w:lang w:val="de-DE" w:eastAsia="de-DE"/>
    </w:rPr>
  </w:style>
  <w:style w:type="character" w:styleId="Hyperlink">
    <w:name w:val="Hyperlink"/>
    <w:basedOn w:val="Absatz-Standardschriftart"/>
    <w:unhideWhenUsed/>
    <w:rsid w:val="00532E73"/>
    <w:rPr>
      <w:color w:val="0000FF" w:themeColor="hyperlink"/>
      <w:u w:val="single"/>
    </w:rPr>
  </w:style>
  <w:style w:type="character" w:styleId="NichtaufgelsteErwhnung">
    <w:name w:val="Unresolved Mention"/>
    <w:basedOn w:val="Absatz-Standardschriftart"/>
    <w:uiPriority w:val="99"/>
    <w:semiHidden/>
    <w:unhideWhenUsed/>
    <w:rsid w:val="00532E73"/>
    <w:rPr>
      <w:color w:val="605E5C"/>
      <w:shd w:val="clear" w:color="auto" w:fill="E1DFDD"/>
    </w:rPr>
  </w:style>
  <w:style w:type="character" w:styleId="BesuchterLink">
    <w:name w:val="FollowedHyperlink"/>
    <w:basedOn w:val="Absatz-Standardschriftart"/>
    <w:semiHidden/>
    <w:unhideWhenUsed/>
    <w:rsid w:val="00F87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VDWonline%0d"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vdw.de" TargetMode="Externa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dw.de/presse-oeffentlichkeit/pressemitteilungen/" TargetMode="External"/><Relationship Id="rId11" Type="http://schemas.openxmlformats.org/officeDocument/2006/relationships/hyperlink" Target="http://www.youtube.com/metaltradefair" TargetMode="External"/><Relationship Id="rId5" Type="http://schemas.openxmlformats.org/officeDocument/2006/relationships/endnotes" Target="endnotes.xml"/><Relationship Id="rId15" Type="http://schemas.openxmlformats.org/officeDocument/2006/relationships/hyperlink" Target="http://www.linkedin.com/company/" TargetMode="Externa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de.industryarena.com/vdw" TargetMode="Externa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Witzenhausen, Felix</dc:creator>
  <cp:lastModifiedBy>Reinhart, Iris</cp:lastModifiedBy>
  <cp:revision>6</cp:revision>
  <cp:lastPrinted>2022-05-31T07:59:00Z</cp:lastPrinted>
  <dcterms:created xsi:type="dcterms:W3CDTF">2022-05-27T09:18:00Z</dcterms:created>
  <dcterms:modified xsi:type="dcterms:W3CDTF">2022-05-31T07:59:00Z</dcterms:modified>
</cp:coreProperties>
</file>