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trPr>
          <w:cantSplit/>
          <w:trHeight w:hRule="exact" w:val="480"/>
        </w:trPr>
        <w:tc>
          <w:tcPr>
            <w:tcW w:w="7655" w:type="dxa"/>
            <w:gridSpan w:val="2"/>
          </w:tcPr>
          <w:p w14:paraId="59E3E08F" w14:textId="014B4806" w:rsidR="00F01E07" w:rsidRDefault="00F01E07">
            <w:pPr>
              <w:rPr>
                <w:b/>
                <w:bCs/>
              </w:rPr>
            </w:pPr>
            <w:r>
              <w:rPr>
                <w:b/>
                <w:bCs/>
              </w:rPr>
              <w:t>RESSEINFORMATION</w:t>
            </w:r>
          </w:p>
        </w:tc>
        <w:tc>
          <w:tcPr>
            <w:tcW w:w="2693" w:type="dxa"/>
            <w:vMerge w:val="restart"/>
          </w:tcPr>
          <w:p w14:paraId="162ABFFE" w14:textId="66658E98" w:rsidR="0050117F" w:rsidRDefault="00777458" w:rsidP="0050117F">
            <w:pPr>
              <w:pStyle w:val="Address"/>
            </w:pPr>
            <w:r>
              <w:t>Lyoner Straße 1</w:t>
            </w:r>
            <w:r w:rsidR="0042443D">
              <w:t>8</w:t>
            </w:r>
          </w:p>
          <w:p w14:paraId="01143849" w14:textId="77777777" w:rsidR="0050117F" w:rsidRDefault="0050117F" w:rsidP="0050117F">
            <w:pPr>
              <w:pStyle w:val="Address"/>
            </w:pPr>
            <w:r>
              <w:t>60</w:t>
            </w:r>
            <w:r w:rsidR="00777458">
              <w:t>528</w:t>
            </w:r>
            <w:r>
              <w:t xml:space="preserve"> Frankfurt am Main</w:t>
            </w:r>
          </w:p>
          <w:p w14:paraId="7FC00728" w14:textId="77777777" w:rsidR="0050117F" w:rsidRDefault="009170BD" w:rsidP="0050117F">
            <w:pPr>
              <w:pStyle w:val="Address"/>
            </w:pPr>
            <w:r>
              <w:t>GERMANY</w:t>
            </w:r>
          </w:p>
          <w:p w14:paraId="04DF840B" w14:textId="77777777" w:rsidR="0050117F" w:rsidRDefault="0050117F" w:rsidP="0050117F">
            <w:pPr>
              <w:pStyle w:val="Address"/>
            </w:pPr>
            <w:r>
              <w:t>Telefon</w:t>
            </w:r>
            <w:r>
              <w:tab/>
              <w:t>+49 69 756081-</w:t>
            </w:r>
            <w:r w:rsidR="0052444D">
              <w:t>0</w:t>
            </w:r>
          </w:p>
          <w:p w14:paraId="0DD9586A" w14:textId="77777777" w:rsidR="0050117F" w:rsidRDefault="0050117F" w:rsidP="0050117F">
            <w:pPr>
              <w:pStyle w:val="Address"/>
            </w:pPr>
            <w:r>
              <w:t>Telefax</w:t>
            </w:r>
            <w:r>
              <w:tab/>
              <w:t>+49 69 756081-11</w:t>
            </w:r>
          </w:p>
          <w:p w14:paraId="662199BF" w14:textId="77777777" w:rsidR="0050117F" w:rsidRDefault="0050117F" w:rsidP="0050117F">
            <w:pPr>
              <w:pStyle w:val="Address"/>
            </w:pPr>
            <w:r>
              <w:t>E-Mail</w:t>
            </w:r>
            <w:r>
              <w:tab/>
            </w:r>
            <w:r w:rsidR="0052444D">
              <w:t>vdw</w:t>
            </w:r>
            <w:r>
              <w:t>@vdw.de</w:t>
            </w:r>
          </w:p>
          <w:p w14:paraId="321419EA" w14:textId="77777777" w:rsidR="0050117F" w:rsidRPr="001C2113" w:rsidRDefault="0050117F" w:rsidP="0050117F">
            <w:pPr>
              <w:pStyle w:val="Address"/>
              <w:rPr>
                <w:lang w:val="en-US"/>
              </w:rPr>
            </w:pPr>
            <w:r w:rsidRPr="001C2113">
              <w:rPr>
                <w:lang w:val="en-US"/>
              </w:rPr>
              <w:t>Internet</w:t>
            </w:r>
            <w:r w:rsidRPr="001C2113">
              <w:rPr>
                <w:lang w:val="en-US"/>
              </w:rPr>
              <w:tab/>
              <w:t>www.vdw.de</w:t>
            </w:r>
          </w:p>
          <w:p w14:paraId="48330491" w14:textId="77777777" w:rsidR="0050117F" w:rsidRPr="001C2113" w:rsidRDefault="0050117F" w:rsidP="0050117F">
            <w:pPr>
              <w:pStyle w:val="Address"/>
              <w:rPr>
                <w:lang w:val="en-US"/>
              </w:rPr>
            </w:pPr>
          </w:p>
          <w:p w14:paraId="72B07F9C" w14:textId="77777777" w:rsidR="00F01E07" w:rsidRDefault="00F01E07"/>
          <w:p w14:paraId="781C7E2D" w14:textId="77777777" w:rsidR="00F01E07" w:rsidRDefault="00F01E07">
            <w:pPr>
              <w:pStyle w:val="Initials"/>
            </w:pPr>
          </w:p>
        </w:tc>
      </w:tr>
      <w:tr w:rsidR="00F01E07" w14:paraId="7CB23FF3" w14:textId="77777777">
        <w:trPr>
          <w:cantSplit/>
          <w:trHeight w:val="260"/>
        </w:trPr>
        <w:tc>
          <w:tcPr>
            <w:tcW w:w="1134" w:type="dxa"/>
          </w:tcPr>
          <w:p w14:paraId="38CFE801" w14:textId="77777777" w:rsidR="00F01E07" w:rsidRDefault="00F01E07"/>
        </w:tc>
        <w:tc>
          <w:tcPr>
            <w:tcW w:w="6521" w:type="dxa"/>
          </w:tcPr>
          <w:p w14:paraId="1B044967" w14:textId="77777777" w:rsidR="00F01E07" w:rsidRDefault="00F01E07">
            <w:pPr>
              <w:pStyle w:val="Name"/>
            </w:pPr>
          </w:p>
        </w:tc>
        <w:tc>
          <w:tcPr>
            <w:tcW w:w="2693" w:type="dxa"/>
            <w:vMerge/>
            <w:vAlign w:val="center"/>
          </w:tcPr>
          <w:p w14:paraId="0E80C27F" w14:textId="77777777" w:rsidR="00F01E07" w:rsidRDefault="00F01E07"/>
        </w:tc>
      </w:tr>
      <w:tr w:rsidR="00F01E07" w14:paraId="6E3857CB" w14:textId="77777777">
        <w:trPr>
          <w:cantSplit/>
          <w:trHeight w:val="260"/>
        </w:trPr>
        <w:tc>
          <w:tcPr>
            <w:tcW w:w="1134" w:type="dxa"/>
          </w:tcPr>
          <w:p w14:paraId="5D4C47DC" w14:textId="77777777" w:rsidR="00F01E07" w:rsidRDefault="00F01E07"/>
        </w:tc>
        <w:tc>
          <w:tcPr>
            <w:tcW w:w="6521" w:type="dxa"/>
          </w:tcPr>
          <w:p w14:paraId="526DA30E" w14:textId="77777777" w:rsidR="00F01E07" w:rsidRDefault="00F01E07">
            <w:pPr>
              <w:pStyle w:val="Firma"/>
            </w:pPr>
          </w:p>
        </w:tc>
        <w:tc>
          <w:tcPr>
            <w:tcW w:w="2693" w:type="dxa"/>
            <w:vMerge/>
            <w:vAlign w:val="center"/>
          </w:tcPr>
          <w:p w14:paraId="53152BA6" w14:textId="77777777" w:rsidR="00F01E07" w:rsidRDefault="00F01E07"/>
        </w:tc>
      </w:tr>
      <w:tr w:rsidR="00F01E07" w14:paraId="0003EB58" w14:textId="77777777">
        <w:trPr>
          <w:cantSplit/>
          <w:trHeight w:val="260"/>
        </w:trPr>
        <w:tc>
          <w:tcPr>
            <w:tcW w:w="1134" w:type="dxa"/>
          </w:tcPr>
          <w:p w14:paraId="028CF472" w14:textId="77777777" w:rsidR="00F01E07" w:rsidRDefault="00F01E07"/>
        </w:tc>
        <w:tc>
          <w:tcPr>
            <w:tcW w:w="6521" w:type="dxa"/>
          </w:tcPr>
          <w:p w14:paraId="748A69E4" w14:textId="77777777" w:rsidR="00F01E07"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trPr>
          <w:cantSplit/>
          <w:trHeight w:val="260"/>
        </w:trPr>
        <w:tc>
          <w:tcPr>
            <w:tcW w:w="1134" w:type="dxa"/>
          </w:tcPr>
          <w:p w14:paraId="31684C30" w14:textId="77777777" w:rsidR="00F01E07" w:rsidRDefault="00F01E07"/>
        </w:tc>
        <w:tc>
          <w:tcPr>
            <w:tcW w:w="6521" w:type="dxa"/>
          </w:tcPr>
          <w:p w14:paraId="093F9047" w14:textId="77777777" w:rsidR="00F01E07" w:rsidRDefault="00F01E07"/>
        </w:tc>
        <w:tc>
          <w:tcPr>
            <w:tcW w:w="2693" w:type="dxa"/>
            <w:vMerge/>
            <w:vAlign w:val="center"/>
          </w:tcPr>
          <w:p w14:paraId="668EB5FD" w14:textId="77777777" w:rsidR="00F01E07" w:rsidRDefault="00F01E07"/>
        </w:tc>
      </w:tr>
      <w:tr w:rsidR="00F01E07" w14:paraId="1C50DEF9" w14:textId="77777777">
        <w:trPr>
          <w:cantSplit/>
          <w:trHeight w:val="260"/>
        </w:trPr>
        <w:tc>
          <w:tcPr>
            <w:tcW w:w="1134" w:type="dxa"/>
          </w:tcPr>
          <w:p w14:paraId="77DB1A99" w14:textId="77777777" w:rsidR="00F01E07" w:rsidRDefault="007B6219">
            <w:r>
              <w:t>V</w:t>
            </w:r>
            <w:r w:rsidR="00F01E07">
              <w:t>on</w:t>
            </w:r>
          </w:p>
        </w:tc>
        <w:tc>
          <w:tcPr>
            <w:tcW w:w="6521" w:type="dxa"/>
          </w:tcPr>
          <w:p w14:paraId="2B9867BA" w14:textId="77777777" w:rsidR="00F01E07" w:rsidRDefault="00F01E07">
            <w:pPr>
              <w:pStyle w:val="Von"/>
              <w:spacing w:line="240" w:lineRule="atLeast"/>
            </w:pPr>
            <w:r>
              <w:t>Sylke Becker</w:t>
            </w:r>
          </w:p>
        </w:tc>
        <w:tc>
          <w:tcPr>
            <w:tcW w:w="2693" w:type="dxa"/>
            <w:vMerge/>
            <w:vAlign w:val="center"/>
          </w:tcPr>
          <w:p w14:paraId="10D02610" w14:textId="77777777" w:rsidR="00F01E07" w:rsidRDefault="00F01E07"/>
        </w:tc>
      </w:tr>
      <w:tr w:rsidR="00F01E07" w14:paraId="69F2863A" w14:textId="77777777">
        <w:trPr>
          <w:cantSplit/>
          <w:trHeight w:val="260"/>
        </w:trPr>
        <w:tc>
          <w:tcPr>
            <w:tcW w:w="1134" w:type="dxa"/>
          </w:tcPr>
          <w:p w14:paraId="6586C1E8" w14:textId="77777777" w:rsidR="00F01E07" w:rsidRDefault="00F01E07">
            <w:r>
              <w:t>Telefon</w:t>
            </w:r>
          </w:p>
        </w:tc>
        <w:tc>
          <w:tcPr>
            <w:tcW w:w="6521" w:type="dxa"/>
          </w:tcPr>
          <w:p w14:paraId="7DC9DE1C" w14:textId="77777777" w:rsidR="00F01E07" w:rsidRDefault="00F01E07">
            <w:pPr>
              <w:pStyle w:val="Telefon"/>
            </w:pPr>
            <w:r>
              <w:t>+49 69 756081-33</w:t>
            </w:r>
          </w:p>
        </w:tc>
        <w:tc>
          <w:tcPr>
            <w:tcW w:w="2693" w:type="dxa"/>
            <w:vMerge/>
            <w:vAlign w:val="center"/>
          </w:tcPr>
          <w:p w14:paraId="445AC98A" w14:textId="77777777" w:rsidR="00F01E07" w:rsidRDefault="00F01E07"/>
        </w:tc>
      </w:tr>
      <w:tr w:rsidR="00F01E07" w14:paraId="5525DDC6" w14:textId="77777777">
        <w:trPr>
          <w:cantSplit/>
          <w:trHeight w:val="260"/>
        </w:trPr>
        <w:tc>
          <w:tcPr>
            <w:tcW w:w="1134" w:type="dxa"/>
          </w:tcPr>
          <w:p w14:paraId="181449C5" w14:textId="77777777" w:rsidR="00F01E07" w:rsidRDefault="00F01E07">
            <w:r>
              <w:t>Telefax</w:t>
            </w:r>
          </w:p>
        </w:tc>
        <w:tc>
          <w:tcPr>
            <w:tcW w:w="6521" w:type="dxa"/>
          </w:tcPr>
          <w:p w14:paraId="5D5ED737" w14:textId="77777777" w:rsidR="00F01E07" w:rsidRDefault="00F01E07">
            <w:pPr>
              <w:pStyle w:val="Fax2"/>
              <w:spacing w:line="240" w:lineRule="atLeast"/>
            </w:pPr>
            <w:r>
              <w:t>+49 69 756081-11</w:t>
            </w:r>
          </w:p>
        </w:tc>
        <w:tc>
          <w:tcPr>
            <w:tcW w:w="2693" w:type="dxa"/>
            <w:vMerge/>
            <w:vAlign w:val="center"/>
          </w:tcPr>
          <w:p w14:paraId="1A735238" w14:textId="77777777" w:rsidR="00F01E07" w:rsidRDefault="00F01E07"/>
        </w:tc>
      </w:tr>
      <w:tr w:rsidR="00F01E07" w14:paraId="4F6FBB5E" w14:textId="77777777">
        <w:trPr>
          <w:cantSplit/>
          <w:trHeight w:val="260"/>
        </w:trPr>
        <w:tc>
          <w:tcPr>
            <w:tcW w:w="1134" w:type="dxa"/>
          </w:tcPr>
          <w:p w14:paraId="28B9CDF2" w14:textId="77777777" w:rsidR="00F01E07" w:rsidRDefault="00F01E07">
            <w:r>
              <w:t>E-Mail</w:t>
            </w:r>
          </w:p>
        </w:tc>
        <w:tc>
          <w:tcPr>
            <w:tcW w:w="6521" w:type="dxa"/>
          </w:tcPr>
          <w:p w14:paraId="7B1E8EA8" w14:textId="77777777" w:rsidR="00F01E07" w:rsidRDefault="00F01E07">
            <w:pPr>
              <w:pStyle w:val="Page"/>
            </w:pPr>
            <w:r>
              <w:t>s.becker@vdw.de</w:t>
            </w:r>
          </w:p>
        </w:tc>
        <w:tc>
          <w:tcPr>
            <w:tcW w:w="2693" w:type="dxa"/>
            <w:vMerge/>
            <w:vAlign w:val="center"/>
          </w:tcPr>
          <w:p w14:paraId="5E53C9C0" w14:textId="77777777" w:rsidR="00F01E07" w:rsidRDefault="00F01E07"/>
        </w:tc>
      </w:tr>
    </w:tbl>
    <w:p w14:paraId="0C73DF37" w14:textId="77777777" w:rsidR="00F01E07" w:rsidRDefault="00F01E07"/>
    <w:p w14:paraId="54470131" w14:textId="77777777" w:rsidR="00F01E07" w:rsidRDefault="00F01E07"/>
    <w:p w14:paraId="4305A831" w14:textId="77777777" w:rsidR="00F01E07" w:rsidRDefault="00F01E07">
      <w:pPr>
        <w:pStyle w:val="Opening"/>
      </w:pPr>
    </w:p>
    <w:p w14:paraId="4ACE5ED0" w14:textId="04845854" w:rsidR="0055639A" w:rsidRPr="0055639A" w:rsidRDefault="0071278F" w:rsidP="00A8146F">
      <w:pPr>
        <w:spacing w:line="360" w:lineRule="auto"/>
        <w:ind w:right="1416"/>
        <w:rPr>
          <w:b/>
          <w:bCs/>
          <w:sz w:val="28"/>
          <w:szCs w:val="28"/>
        </w:rPr>
      </w:pPr>
      <w:r>
        <w:rPr>
          <w:b/>
          <w:bCs/>
          <w:sz w:val="28"/>
          <w:szCs w:val="28"/>
        </w:rPr>
        <w:t>Euroraum befeuert</w:t>
      </w:r>
      <w:r w:rsidR="003C2513">
        <w:rPr>
          <w:b/>
          <w:bCs/>
          <w:sz w:val="28"/>
          <w:szCs w:val="28"/>
        </w:rPr>
        <w:t xml:space="preserve"> aktuell</w:t>
      </w:r>
      <w:r>
        <w:rPr>
          <w:b/>
          <w:bCs/>
          <w:sz w:val="28"/>
          <w:szCs w:val="28"/>
        </w:rPr>
        <w:t xml:space="preserve"> Bestellungen der </w:t>
      </w:r>
      <w:r w:rsidR="0055639A" w:rsidRPr="0055639A">
        <w:rPr>
          <w:b/>
          <w:bCs/>
          <w:sz w:val="28"/>
          <w:szCs w:val="28"/>
        </w:rPr>
        <w:t>Werkzeugmaschinen</w:t>
      </w:r>
      <w:r w:rsidR="00CB4BB6">
        <w:rPr>
          <w:b/>
          <w:bCs/>
          <w:sz w:val="28"/>
          <w:szCs w:val="28"/>
        </w:rPr>
        <w:t xml:space="preserve">industrie  </w:t>
      </w:r>
      <w:r w:rsidR="003639B8">
        <w:rPr>
          <w:b/>
          <w:bCs/>
          <w:sz w:val="28"/>
          <w:szCs w:val="28"/>
        </w:rPr>
        <w:t xml:space="preserve"> </w:t>
      </w:r>
    </w:p>
    <w:p w14:paraId="6A182541" w14:textId="422E7569" w:rsidR="0055639A" w:rsidRPr="0055639A" w:rsidRDefault="004D5392" w:rsidP="00A8146F">
      <w:pPr>
        <w:spacing w:line="360" w:lineRule="auto"/>
        <w:ind w:right="1416"/>
        <w:rPr>
          <w:b/>
          <w:bCs/>
          <w:szCs w:val="22"/>
        </w:rPr>
      </w:pPr>
      <w:r>
        <w:rPr>
          <w:b/>
          <w:bCs/>
          <w:szCs w:val="22"/>
        </w:rPr>
        <w:t xml:space="preserve">Umsatz </w:t>
      </w:r>
      <w:r w:rsidR="003C2513">
        <w:rPr>
          <w:b/>
          <w:bCs/>
          <w:szCs w:val="22"/>
        </w:rPr>
        <w:t>b</w:t>
      </w:r>
      <w:r w:rsidR="00D67FEF">
        <w:rPr>
          <w:b/>
          <w:bCs/>
          <w:szCs w:val="22"/>
        </w:rPr>
        <w:t>ehält</w:t>
      </w:r>
      <w:r w:rsidR="003C2513">
        <w:rPr>
          <w:b/>
          <w:bCs/>
          <w:szCs w:val="22"/>
        </w:rPr>
        <w:t xml:space="preserve"> weiterhin</w:t>
      </w:r>
      <w:r w:rsidR="00D67FEF">
        <w:rPr>
          <w:b/>
          <w:bCs/>
          <w:szCs w:val="22"/>
        </w:rPr>
        <w:t xml:space="preserve"> seinen Schwung</w:t>
      </w:r>
      <w:r w:rsidR="00CB4BB6">
        <w:rPr>
          <w:b/>
          <w:bCs/>
          <w:szCs w:val="22"/>
        </w:rPr>
        <w:t xml:space="preserve"> </w:t>
      </w:r>
    </w:p>
    <w:p w14:paraId="3B5A2AB2" w14:textId="77777777" w:rsidR="0055639A" w:rsidRPr="0055639A" w:rsidRDefault="0055639A" w:rsidP="00A8146F">
      <w:pPr>
        <w:spacing w:line="360" w:lineRule="auto"/>
        <w:ind w:right="1416"/>
      </w:pPr>
    </w:p>
    <w:p w14:paraId="0D24C0B7" w14:textId="798BD44F" w:rsidR="0055639A" w:rsidRPr="0055639A" w:rsidRDefault="0055639A" w:rsidP="00A8146F">
      <w:pPr>
        <w:spacing w:line="360" w:lineRule="auto"/>
        <w:ind w:right="1416"/>
      </w:pPr>
      <w:r w:rsidRPr="0055639A">
        <w:rPr>
          <w:b/>
        </w:rPr>
        <w:t xml:space="preserve">Frankfurt am Main, </w:t>
      </w:r>
      <w:r w:rsidR="008806A9">
        <w:rPr>
          <w:b/>
        </w:rPr>
        <w:t>15</w:t>
      </w:r>
      <w:r w:rsidRPr="0055639A">
        <w:rPr>
          <w:b/>
        </w:rPr>
        <w:t xml:space="preserve">. </w:t>
      </w:r>
      <w:r w:rsidR="00CB4BB6">
        <w:rPr>
          <w:b/>
        </w:rPr>
        <w:t>August</w:t>
      </w:r>
      <w:r w:rsidRPr="0055639A">
        <w:rPr>
          <w:b/>
        </w:rPr>
        <w:t xml:space="preserve"> 2023. </w:t>
      </w:r>
      <w:r w:rsidRPr="0055639A">
        <w:t xml:space="preserve">– Im </w:t>
      </w:r>
      <w:r w:rsidR="00CB4BB6">
        <w:t xml:space="preserve">zweiten </w:t>
      </w:r>
      <w:r w:rsidRPr="0055639A">
        <w:t>Quartal 202</w:t>
      </w:r>
      <w:r w:rsidR="003639B8">
        <w:t>3</w:t>
      </w:r>
      <w:r w:rsidRPr="0055639A">
        <w:t xml:space="preserve"> sank der Auftragseingang der deutschen Werkzeugmaschinenindustrie im Vergleich zum Vorjahreszeitraum </w:t>
      </w:r>
      <w:r w:rsidR="003639B8">
        <w:t xml:space="preserve">nominal </w:t>
      </w:r>
      <w:r w:rsidRPr="0055639A">
        <w:t xml:space="preserve">um </w:t>
      </w:r>
      <w:r w:rsidR="00CB4BB6">
        <w:t>3</w:t>
      </w:r>
      <w:r w:rsidRPr="0055639A">
        <w:t xml:space="preserve"> Prozent. Dabei </w:t>
      </w:r>
      <w:r w:rsidR="009479F1">
        <w:t>notiert</w:t>
      </w:r>
      <w:r w:rsidR="003639B8">
        <w:t>en</w:t>
      </w:r>
      <w:r w:rsidRPr="0055639A">
        <w:t xml:space="preserve"> die Bestellungen aus dem Inland </w:t>
      </w:r>
      <w:r w:rsidR="003639B8">
        <w:t>1</w:t>
      </w:r>
      <w:r w:rsidR="00CB4BB6">
        <w:t>1</w:t>
      </w:r>
      <w:r w:rsidRPr="0055639A">
        <w:t xml:space="preserve"> Prozent</w:t>
      </w:r>
      <w:r w:rsidR="009479F1">
        <w:t xml:space="preserve"> unter Vorjahr</w:t>
      </w:r>
      <w:r w:rsidRPr="0055639A">
        <w:t xml:space="preserve">, die Auslandsorders </w:t>
      </w:r>
      <w:r w:rsidR="00CB4BB6">
        <w:t>stiegen um 1 Prozent. Im ersten Halbjahr fiel der Auftragseingang insge</w:t>
      </w:r>
      <w:r w:rsidR="004D5392">
        <w:t xml:space="preserve">samt </w:t>
      </w:r>
      <w:r w:rsidR="00CB4BB6">
        <w:t xml:space="preserve">um 7 Prozent. Die Inlandsbestellungen liegen 15 Prozent unter Vorjahr, die Auslandsbestellungen 4 Prozent. </w:t>
      </w:r>
      <w:r w:rsidR="0071278F">
        <w:t>Real bedeutet das ein Bestellminus von 13 Prozent.</w:t>
      </w:r>
    </w:p>
    <w:p w14:paraId="5601DBFC" w14:textId="77777777" w:rsidR="0055639A" w:rsidRPr="0055639A" w:rsidRDefault="0055639A" w:rsidP="00A8146F">
      <w:pPr>
        <w:spacing w:line="360" w:lineRule="auto"/>
        <w:ind w:right="1416"/>
      </w:pPr>
    </w:p>
    <w:p w14:paraId="24BE7515" w14:textId="26034B4D" w:rsidR="0071278F" w:rsidRDefault="0055639A" w:rsidP="00A8146F">
      <w:pPr>
        <w:spacing w:line="360" w:lineRule="auto"/>
        <w:ind w:right="1416"/>
      </w:pPr>
      <w:r w:rsidRPr="0055639A">
        <w:t>„</w:t>
      </w:r>
      <w:r w:rsidR="00CB4BB6">
        <w:t xml:space="preserve">Die Bestellungen sind zum Abschluss des zweiten Quartals </w:t>
      </w:r>
      <w:r w:rsidR="00BD0253">
        <w:t xml:space="preserve">abermals </w:t>
      </w:r>
      <w:r w:rsidR="00CB4BB6">
        <w:t>überraschend gestiegen</w:t>
      </w:r>
      <w:r w:rsidR="00BD0253">
        <w:t>, ähnlich wie im März</w:t>
      </w:r>
      <w:r w:rsidR="00CB4BB6">
        <w:t xml:space="preserve">“, berichtet </w:t>
      </w:r>
      <w:r w:rsidRPr="0055639A">
        <w:t>Dr. Wilfried Schäfer, Geschäftsführer des VDW (Verein Deutscher Werkzeugmaschinenfabriken), Frankfurt am Main</w:t>
      </w:r>
      <w:r w:rsidR="00CB4BB6">
        <w:t xml:space="preserve">. Die Impulse kamen im zweiten Quartal aus den Euroländern. </w:t>
      </w:r>
      <w:r w:rsidR="003C2513" w:rsidRPr="003C2513">
        <w:t>A</w:t>
      </w:r>
      <w:r w:rsidR="003C2513">
        <w:t>uch verteilt sich der Bestellzuwachs a</w:t>
      </w:r>
      <w:r w:rsidR="003C2513" w:rsidRPr="003C2513">
        <w:t xml:space="preserve">m </w:t>
      </w:r>
      <w:r w:rsidR="004749F9">
        <w:t xml:space="preserve">Ende des zweiten Quartals sowohl </w:t>
      </w:r>
      <w:r w:rsidR="003C2513" w:rsidRPr="003C2513">
        <w:t xml:space="preserve">auf die Zerspanung </w:t>
      </w:r>
      <w:r w:rsidR="004749F9">
        <w:t>wie auch die</w:t>
      </w:r>
      <w:r w:rsidR="003C2513" w:rsidRPr="003C2513">
        <w:t xml:space="preserve"> Umformung. </w:t>
      </w:r>
      <w:r w:rsidR="00420502">
        <w:t>„Aus Erfahrung wissen wir natürlich, dass ein Monatsergebnis keine Trendwende signalisiert“, s</w:t>
      </w:r>
      <w:r w:rsidR="004749F9">
        <w:t>agt</w:t>
      </w:r>
      <w:r w:rsidR="00420502">
        <w:t xml:space="preserve"> Schäfer weiter. </w:t>
      </w:r>
      <w:r w:rsidR="00BD0253">
        <w:t xml:space="preserve">Vielmehr basierten die Schwankungen auf </w:t>
      </w:r>
      <w:r w:rsidR="003C2513">
        <w:t xml:space="preserve">dem </w:t>
      </w:r>
      <w:r w:rsidR="00BD0253">
        <w:t>Projektgeschäft</w:t>
      </w:r>
      <w:r w:rsidR="003C2513">
        <w:t xml:space="preserve">, </w:t>
      </w:r>
      <w:r w:rsidR="003C2513" w:rsidRPr="003C2513">
        <w:t>vor allem in der Umformtechnik</w:t>
      </w:r>
      <w:r w:rsidR="003C2513">
        <w:t xml:space="preserve">. Außerdem stützen Bestellungen aus </w:t>
      </w:r>
      <w:r w:rsidR="003C2513" w:rsidRPr="003C2513">
        <w:t xml:space="preserve">Wachstumsbranchen wie E-Mobility, Windkraft, aber auch Aerospace und Rüstung </w:t>
      </w:r>
      <w:r w:rsidR="003C2513">
        <w:t>den Auftragseingang. D</w:t>
      </w:r>
      <w:r w:rsidR="003C2513" w:rsidRPr="003C2513">
        <w:t xml:space="preserve">as Standardmaschinengeschäft </w:t>
      </w:r>
      <w:r w:rsidR="003C2513">
        <w:t xml:space="preserve">hingegen läuft </w:t>
      </w:r>
      <w:r w:rsidR="003C2513" w:rsidRPr="003C2513">
        <w:t xml:space="preserve">eher </w:t>
      </w:r>
      <w:r w:rsidR="003C2513" w:rsidRPr="003C2513">
        <w:lastRenderedPageBreak/>
        <w:t>schwächer</w:t>
      </w:r>
      <w:r w:rsidR="003C2513">
        <w:t>, denn k</w:t>
      </w:r>
      <w:r w:rsidR="003C2513" w:rsidRPr="003C2513">
        <w:t xml:space="preserve">leine und mittelständische Kunden sind verunsichert und schieben </w:t>
      </w:r>
      <w:r w:rsidR="003C2513">
        <w:t>ihre</w:t>
      </w:r>
      <w:r w:rsidR="003C2513" w:rsidRPr="003C2513">
        <w:t xml:space="preserve"> Investitionen</w:t>
      </w:r>
      <w:r w:rsidR="003C2513">
        <w:t xml:space="preserve"> auf</w:t>
      </w:r>
      <w:r w:rsidR="003C2513" w:rsidRPr="003C2513">
        <w:t>. Schwierig wird es mit kreditfinanzierten Maschinenkäufen aufgrund der gestiegenen Zinsen.</w:t>
      </w:r>
      <w:r w:rsidR="003C2513">
        <w:t xml:space="preserve"> </w:t>
      </w:r>
    </w:p>
    <w:p w14:paraId="38B7DED7" w14:textId="0B266986" w:rsidR="0071278F" w:rsidRDefault="003C2513" w:rsidP="00A8146F">
      <w:pPr>
        <w:spacing w:line="360" w:lineRule="auto"/>
        <w:ind w:right="1416"/>
      </w:pPr>
      <w:r>
        <w:t xml:space="preserve"> </w:t>
      </w:r>
    </w:p>
    <w:p w14:paraId="66EE8501" w14:textId="6570D2AE" w:rsidR="0071278F" w:rsidRDefault="00420502" w:rsidP="00A8146F">
      <w:pPr>
        <w:spacing w:line="360" w:lineRule="auto"/>
        <w:ind w:right="1416"/>
      </w:pPr>
      <w:r>
        <w:t xml:space="preserve">Der Umsatz hält sich auf hohem Niveau. Nominal wuchs er im ersten Halbjahr um 21 Prozent, real um 13 Prozent. </w:t>
      </w:r>
      <w:r w:rsidR="0071278F">
        <w:t>Die Kapazitätsauslastung ist im Juli dieses Jahres wieder leicht gestiegen</w:t>
      </w:r>
      <w:r w:rsidR="003C2513">
        <w:t>, von</w:t>
      </w:r>
      <w:r w:rsidR="004749F9">
        <w:t xml:space="preserve"> 88,3</w:t>
      </w:r>
      <w:r w:rsidR="0071278F">
        <w:t xml:space="preserve"> auf 90,5 Prozent.</w:t>
      </w:r>
    </w:p>
    <w:p w14:paraId="215079C7" w14:textId="77777777" w:rsidR="00420502" w:rsidRDefault="00420502" w:rsidP="00A8146F">
      <w:pPr>
        <w:spacing w:line="360" w:lineRule="auto"/>
        <w:ind w:right="1416"/>
      </w:pPr>
    </w:p>
    <w:p w14:paraId="02AA08F2" w14:textId="4A869540" w:rsidR="009479F1" w:rsidRDefault="00B84209" w:rsidP="00A8146F">
      <w:pPr>
        <w:spacing w:line="360" w:lineRule="auto"/>
        <w:ind w:right="1416"/>
      </w:pPr>
      <w:r>
        <w:t>Der Auftragsbestand sinkt nur langsam</w:t>
      </w:r>
      <w:r w:rsidR="00BD0253">
        <w:t xml:space="preserve">. </w:t>
      </w:r>
      <w:r w:rsidR="002C17A5">
        <w:t>„</w:t>
      </w:r>
      <w:r w:rsidR="00BD0253">
        <w:t>Deshalb hat die VDW-Prognose mit einem Produktionswachstum von 10 Prozent im laufenden Jahr weiterhin Bestand</w:t>
      </w:r>
      <w:r w:rsidR="002C17A5">
        <w:t>“, sagt Schäfer abschließend</w:t>
      </w:r>
      <w:r w:rsidR="00BD0253">
        <w:t xml:space="preserve">. </w:t>
      </w:r>
      <w:r w:rsidR="004749F9">
        <w:t>Zugpferd bleib</w:t>
      </w:r>
      <w:r w:rsidR="002C17A5">
        <w:t>e</w:t>
      </w:r>
      <w:r w:rsidR="004749F9">
        <w:t xml:space="preserve"> das Ausland und dort einzig Asien mit einer positiven Bilanz.</w:t>
      </w:r>
    </w:p>
    <w:p w14:paraId="22197750" w14:textId="77777777" w:rsidR="00D63F0A" w:rsidRPr="0055639A" w:rsidRDefault="00D63F0A" w:rsidP="00A8146F">
      <w:pPr>
        <w:spacing w:line="360" w:lineRule="auto"/>
        <w:ind w:right="1416"/>
      </w:pPr>
    </w:p>
    <w:p w14:paraId="0FDAFAF4" w14:textId="77777777" w:rsidR="0055639A" w:rsidRPr="0055639A" w:rsidRDefault="0055639A" w:rsidP="0055639A">
      <w:pPr>
        <w:rPr>
          <w:b/>
        </w:rPr>
      </w:pPr>
      <w:r w:rsidRPr="0055639A">
        <w:rPr>
          <w:b/>
        </w:rPr>
        <w:t>Hintergrund</w:t>
      </w:r>
    </w:p>
    <w:p w14:paraId="5EDA09AD" w14:textId="7B28003F" w:rsidR="0055639A" w:rsidRPr="0055639A" w:rsidRDefault="0055639A" w:rsidP="0055639A">
      <w:pPr>
        <w:rPr>
          <w:sz w:val="18"/>
          <w:szCs w:val="18"/>
        </w:rPr>
      </w:pPr>
      <w:r w:rsidRPr="0055639A">
        <w:rPr>
          <w:sz w:val="18"/>
          <w:szCs w:val="18"/>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202</w:t>
      </w:r>
      <w:r w:rsidR="004D5392">
        <w:rPr>
          <w:sz w:val="18"/>
          <w:szCs w:val="18"/>
        </w:rPr>
        <w:t>2</w:t>
      </w:r>
      <w:r w:rsidRPr="0055639A">
        <w:rPr>
          <w:sz w:val="18"/>
          <w:szCs w:val="18"/>
        </w:rPr>
        <w:t xml:space="preserve"> produzierte die Branche mit durchschnittlich rd. 64.</w:t>
      </w:r>
      <w:r w:rsidR="004D5392">
        <w:rPr>
          <w:sz w:val="18"/>
          <w:szCs w:val="18"/>
        </w:rPr>
        <w:t>0</w:t>
      </w:r>
      <w:r w:rsidRPr="0055639A">
        <w:rPr>
          <w:sz w:val="18"/>
          <w:szCs w:val="18"/>
        </w:rPr>
        <w:t>00 Beschäftigten (Betriebe mit mehr als 50 Mitarbeitern) Maschinen und Dienstleistungen im Wert von rund 14,1 Mrd. Euro.</w:t>
      </w:r>
    </w:p>
    <w:p w14:paraId="6866C1A8" w14:textId="77777777" w:rsidR="0055639A" w:rsidRPr="0055639A" w:rsidRDefault="0055639A" w:rsidP="0055639A"/>
    <w:p w14:paraId="661D6694" w14:textId="77777777" w:rsidR="0055639A" w:rsidRPr="0055639A" w:rsidRDefault="0055639A" w:rsidP="0055639A">
      <w:r w:rsidRPr="0055639A">
        <w:t>Bild:</w:t>
      </w:r>
    </w:p>
    <w:p w14:paraId="10F5189B" w14:textId="77777777" w:rsidR="0055639A" w:rsidRPr="0055639A" w:rsidRDefault="0055639A" w:rsidP="0055639A">
      <w:r w:rsidRPr="0055639A">
        <w:t>Dr. Wilfried Schäfer, Geschäftsführer VDW (Verein Deutscher Werkzeugmaschinenfabriken), Frankfurt am Main</w:t>
      </w:r>
    </w:p>
    <w:p w14:paraId="25BDA7CF" w14:textId="77777777" w:rsidR="0055639A" w:rsidRPr="0055639A" w:rsidRDefault="0055639A" w:rsidP="0055639A"/>
    <w:p w14:paraId="77DB7E32" w14:textId="77777777" w:rsidR="0055639A" w:rsidRPr="0055639A" w:rsidRDefault="0055639A" w:rsidP="0055639A">
      <w:r w:rsidRPr="0055639A">
        <w:t xml:space="preserve">Grafik: Auftragseingang in der deutschen Werkzeugmaschinenindustrie </w:t>
      </w:r>
    </w:p>
    <w:p w14:paraId="3A8547BD" w14:textId="77777777" w:rsidR="0055639A" w:rsidRPr="0055639A" w:rsidRDefault="0055639A" w:rsidP="0055639A"/>
    <w:p w14:paraId="261DF601" w14:textId="77777777" w:rsidR="0055639A" w:rsidRPr="0055639A" w:rsidRDefault="0055639A" w:rsidP="0055639A">
      <w:r w:rsidRPr="0055639A">
        <w:t xml:space="preserve">Diese Presseinformation erhalten Sie auch direkt unter </w:t>
      </w:r>
    </w:p>
    <w:p w14:paraId="66733DC2" w14:textId="77777777" w:rsidR="0055639A" w:rsidRPr="0055639A" w:rsidRDefault="00DB1B2D" w:rsidP="0055639A">
      <w:hyperlink r:id="rId6" w:history="1">
        <w:r w:rsidR="0055639A" w:rsidRPr="0055639A">
          <w:rPr>
            <w:rStyle w:val="Hyperlink"/>
          </w:rPr>
          <w:t>https://vdw.de/presse-oeffentlichkeit/pressemitteilungen/</w:t>
        </w:r>
      </w:hyperlink>
    </w:p>
    <w:p w14:paraId="387EDB67" w14:textId="77777777" w:rsidR="0055639A" w:rsidRPr="0055639A" w:rsidRDefault="0055639A" w:rsidP="0055639A"/>
    <w:p w14:paraId="3AA8CD0C" w14:textId="77777777" w:rsidR="0055639A" w:rsidRPr="0055639A" w:rsidRDefault="0055639A" w:rsidP="0055639A">
      <w:r w:rsidRPr="0055639A">
        <w:t xml:space="preserve">Grafiken und Bilder finden Sie im Internet auch online unter </w:t>
      </w:r>
      <w:hyperlink r:id="rId7" w:history="1">
        <w:r w:rsidRPr="0055639A">
          <w:rPr>
            <w:rStyle w:val="Hyperlink"/>
          </w:rPr>
          <w:t>www.vdw.de</w:t>
        </w:r>
      </w:hyperlink>
      <w:r w:rsidRPr="0055639A">
        <w:t xml:space="preserve"> im Bereich Presse. Besuchen Sie den VDW auch in den Social-Media-Kanälen </w:t>
      </w:r>
    </w:p>
    <w:p w14:paraId="78CF0AD1" w14:textId="77777777" w:rsidR="0055639A" w:rsidRPr="0055639A" w:rsidRDefault="0055639A" w:rsidP="0055639A"/>
    <w:p w14:paraId="39DEDC60" w14:textId="77777777" w:rsidR="0055639A" w:rsidRPr="0055639A" w:rsidRDefault="0055639A" w:rsidP="0055639A">
      <w:r w:rsidRPr="0055639A">
        <w:rPr>
          <w:i/>
          <w:noProof/>
        </w:rPr>
        <w:drawing>
          <wp:inline distT="0" distB="0" distL="0" distR="0" wp14:anchorId="621B08F3" wp14:editId="42334452">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55639A">
        <w:rPr>
          <w:i/>
        </w:rPr>
        <w:tab/>
      </w:r>
      <w:r w:rsidRPr="0055639A">
        <w:rPr>
          <w:i/>
        </w:rPr>
        <w:tab/>
      </w:r>
      <w:hyperlink r:id="rId9" w:history="1">
        <w:r w:rsidRPr="0055639A">
          <w:rPr>
            <w:rStyle w:val="Hyperlink"/>
          </w:rPr>
          <w:t>www.</w:t>
        </w:r>
        <w:r w:rsidRPr="0055639A">
          <w:rPr>
            <w:rStyle w:val="Hyperlink"/>
            <w:i/>
          </w:rPr>
          <w:t>de.industryarena.com/vdw</w:t>
        </w:r>
      </w:hyperlink>
    </w:p>
    <w:p w14:paraId="35B930CF" w14:textId="77777777" w:rsidR="0055639A" w:rsidRPr="0055639A" w:rsidRDefault="0055639A" w:rsidP="0055639A">
      <w:pPr>
        <w:rPr>
          <w:u w:val="single"/>
        </w:rPr>
      </w:pPr>
      <w:r w:rsidRPr="0055639A">
        <w:rPr>
          <w:i/>
          <w:noProof/>
        </w:rPr>
        <w:drawing>
          <wp:inline distT="0" distB="0" distL="0" distR="0" wp14:anchorId="43D0C2CC" wp14:editId="3ACDF11D">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55639A">
        <w:rPr>
          <w:i/>
        </w:rPr>
        <w:tab/>
      </w:r>
      <w:r w:rsidRPr="0055639A">
        <w:rPr>
          <w:i/>
        </w:rPr>
        <w:tab/>
      </w:r>
      <w:hyperlink r:id="rId11" w:history="1">
        <w:r w:rsidRPr="0055639A">
          <w:rPr>
            <w:rStyle w:val="Hyperlink"/>
            <w:i/>
          </w:rPr>
          <w:t>www.youtube.com/metaltradefair</w:t>
        </w:r>
      </w:hyperlink>
    </w:p>
    <w:p w14:paraId="1C923830" w14:textId="77777777" w:rsidR="0055639A" w:rsidRPr="0055639A" w:rsidRDefault="0055639A" w:rsidP="0055639A">
      <w:pPr>
        <w:rPr>
          <w:i/>
          <w:iCs/>
          <w:u w:val="single"/>
        </w:rPr>
      </w:pPr>
      <w:r w:rsidRPr="0055639A">
        <w:rPr>
          <w:noProof/>
        </w:rPr>
        <w:drawing>
          <wp:inline distT="0" distB="0" distL="0" distR="0" wp14:anchorId="09A7B9AF" wp14:editId="028B2161">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55639A">
        <w:tab/>
      </w:r>
      <w:r w:rsidRPr="0055639A">
        <w:tab/>
      </w:r>
      <w:hyperlink r:id="rId13" w:history="1">
        <w:r w:rsidRPr="0055639A">
          <w:rPr>
            <w:rStyle w:val="Hyperlink"/>
            <w:i/>
            <w:iCs/>
          </w:rPr>
          <w:t>www.twitter.com/VDWonline</w:t>
        </w:r>
      </w:hyperlink>
    </w:p>
    <w:p w14:paraId="30824BC0" w14:textId="27FC92C1" w:rsidR="0055639A" w:rsidRDefault="0055639A" w:rsidP="0055639A">
      <w:pPr>
        <w:rPr>
          <w:i/>
          <w:iCs/>
          <w:u w:val="single"/>
        </w:rPr>
      </w:pPr>
      <w:r w:rsidRPr="0055639A">
        <w:rPr>
          <w:noProof/>
        </w:rPr>
        <w:drawing>
          <wp:inline distT="0" distB="0" distL="0" distR="0" wp14:anchorId="2E8C3F8F" wp14:editId="556F2911">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55639A">
        <w:tab/>
      </w:r>
      <w:r w:rsidRPr="0055639A">
        <w:tab/>
      </w:r>
      <w:hyperlink r:id="rId15" w:history="1">
        <w:r w:rsidR="008806A9" w:rsidRPr="004E0D39">
          <w:rPr>
            <w:rStyle w:val="Hyperlink"/>
            <w:i/>
            <w:iCs/>
          </w:rPr>
          <w:t>www.linkedin.com/company/vdw-frankfurt</w:t>
        </w:r>
      </w:hyperlink>
    </w:p>
    <w:sectPr w:rsidR="0055639A"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1853" w14:textId="77777777" w:rsidR="002A0F4E" w:rsidRDefault="002A0F4E">
      <w:r>
        <w:separator/>
      </w:r>
    </w:p>
  </w:endnote>
  <w:endnote w:type="continuationSeparator" w:id="0">
    <w:p w14:paraId="0254CCDC" w14:textId="77777777" w:rsidR="002A0F4E" w:rsidRDefault="002A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D00B7D" w14:paraId="4ED1515C" w14:textId="77777777">
      <w:tc>
        <w:tcPr>
          <w:tcW w:w="2442" w:type="dxa"/>
        </w:tcPr>
        <w:p w14:paraId="05A9F84A" w14:textId="77777777" w:rsidR="0050117F" w:rsidRPr="00362226" w:rsidRDefault="0050117F" w:rsidP="001835F7">
          <w:pPr>
            <w:pStyle w:val="FZ"/>
          </w:pPr>
          <w:r w:rsidRPr="00362226">
            <w:t>Verein Deutscher</w:t>
          </w:r>
        </w:p>
        <w:p w14:paraId="64A6DFCF" w14:textId="77777777" w:rsidR="0050117F" w:rsidRPr="00362226" w:rsidRDefault="0050117F" w:rsidP="001835F7">
          <w:pPr>
            <w:pStyle w:val="FZ"/>
          </w:pPr>
          <w:r w:rsidRPr="00362226">
            <w:t>Werkzeugmaschinenfabriken e.V.</w:t>
          </w:r>
        </w:p>
        <w:p w14:paraId="70E4F97D" w14:textId="77777777" w:rsidR="0050117F" w:rsidRDefault="0050117F" w:rsidP="001835F7">
          <w:pPr>
            <w:pStyle w:val="FZ"/>
          </w:pPr>
        </w:p>
      </w:tc>
      <w:tc>
        <w:tcPr>
          <w:tcW w:w="2548" w:type="dxa"/>
        </w:tcPr>
        <w:p w14:paraId="1B4422D4" w14:textId="77777777" w:rsidR="0050117F" w:rsidRDefault="0050117F" w:rsidP="001835F7">
          <w:pPr>
            <w:pStyle w:val="FZ"/>
          </w:pPr>
          <w:r>
            <w:t>Vorsitzende</w:t>
          </w:r>
          <w:r w:rsidRPr="009F2281">
            <w:rPr>
              <w:spacing w:val="20"/>
              <w:szCs w:val="14"/>
            </w:rPr>
            <w:t>r/</w:t>
          </w:r>
          <w:r>
            <w:t>Chairman:</w:t>
          </w:r>
        </w:p>
        <w:p w14:paraId="1FF8E095" w14:textId="1785B1E4" w:rsidR="0050117F" w:rsidRDefault="00921790" w:rsidP="001835F7">
          <w:pPr>
            <w:pStyle w:val="FZ"/>
          </w:pPr>
          <w:r>
            <w:t>Franz-Xaver Bernhard</w:t>
          </w:r>
        </w:p>
        <w:p w14:paraId="29CC6522" w14:textId="1F5F1DA9" w:rsidR="0050117F" w:rsidRDefault="0050117F" w:rsidP="001835F7">
          <w:pPr>
            <w:pStyle w:val="FZ"/>
          </w:pPr>
          <w:r>
            <w:t>Geschäftsführe</w:t>
          </w:r>
          <w:r w:rsidRPr="009F2281">
            <w:rPr>
              <w:spacing w:val="20"/>
              <w:szCs w:val="14"/>
            </w:rPr>
            <w:t>r/</w:t>
          </w:r>
          <w:r w:rsidR="00DC17E9">
            <w:t xml:space="preserve">Executive </w:t>
          </w:r>
          <w:proofErr w:type="spellStart"/>
          <w:r w:rsidR="00DC17E9">
            <w:t>Director</w:t>
          </w:r>
          <w:r w:rsidR="00C54F08">
            <w:t>s</w:t>
          </w:r>
          <w:proofErr w:type="spellEnd"/>
          <w:r>
            <w:t>:</w:t>
          </w:r>
        </w:p>
        <w:p w14:paraId="21509B40" w14:textId="7F60DA3B" w:rsidR="0050117F" w:rsidRDefault="00C54F08" w:rsidP="001835F7">
          <w:pPr>
            <w:pStyle w:val="FZ"/>
          </w:pPr>
          <w:r w:rsidRPr="00C54F08">
            <w:t xml:space="preserve">Dr.-Ing. Markus Heering </w:t>
          </w:r>
          <w:r>
            <w:br/>
          </w:r>
          <w:r w:rsidR="0050117F">
            <w:t>Dr.-Ing. Wilfried Schäfer</w:t>
          </w:r>
        </w:p>
      </w:tc>
      <w:tc>
        <w:tcPr>
          <w:tcW w:w="2799" w:type="dxa"/>
        </w:tcPr>
        <w:p w14:paraId="2C60AE2F" w14:textId="3778AA18" w:rsidR="0050117F" w:rsidRDefault="0050117F" w:rsidP="001835F7">
          <w:pPr>
            <w:pStyle w:val="FZ"/>
          </w:pPr>
          <w:r>
            <w:t>Registergerich</w:t>
          </w:r>
          <w:r w:rsidRPr="009F2281">
            <w:rPr>
              <w:spacing w:val="20"/>
              <w:szCs w:val="14"/>
            </w:rPr>
            <w:t>t/</w:t>
          </w:r>
          <w:r>
            <w:t xml:space="preserve">Registration Office: </w:t>
          </w:r>
          <w:r w:rsidR="001C2113">
            <w:br/>
          </w:r>
          <w:r>
            <w:t>Amtsgericht Frankfurt am Main</w:t>
          </w:r>
        </w:p>
        <w:p w14:paraId="140702F0" w14:textId="77777777"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6C087E10" w14:textId="77777777" w:rsidR="0050117F" w:rsidRPr="0052444D" w:rsidRDefault="0050117F"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1DAA" w14:textId="77777777" w:rsidR="002A0F4E" w:rsidRDefault="002A0F4E">
      <w:r>
        <w:separator/>
      </w:r>
    </w:p>
  </w:footnote>
  <w:footnote w:type="continuationSeparator" w:id="0">
    <w:p w14:paraId="28F868FC" w14:textId="77777777" w:rsidR="002A0F4E" w:rsidRDefault="002A0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0616F003"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fldChar w:fldCharType="begin"/>
          </w:r>
          <w:r>
            <w:instrText xml:space="preserve"> STYLEREF Initials \* MERGEFORMAT </w:instrText>
          </w:r>
          <w:r>
            <w:fldChar w:fldCharType="end"/>
          </w:r>
          <w:r>
            <w:t xml:space="preserve"> </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D1379"/>
    <w:rsid w:val="000D6B28"/>
    <w:rsid w:val="0010603D"/>
    <w:rsid w:val="00146D7A"/>
    <w:rsid w:val="001835F7"/>
    <w:rsid w:val="001A0A28"/>
    <w:rsid w:val="001B2BE8"/>
    <w:rsid w:val="001C2113"/>
    <w:rsid w:val="00236A5F"/>
    <w:rsid w:val="002A0F4E"/>
    <w:rsid w:val="002C17A5"/>
    <w:rsid w:val="003639B8"/>
    <w:rsid w:val="003C1562"/>
    <w:rsid w:val="003C2513"/>
    <w:rsid w:val="00401FC4"/>
    <w:rsid w:val="00416510"/>
    <w:rsid w:val="00420502"/>
    <w:rsid w:val="0042443D"/>
    <w:rsid w:val="0043362F"/>
    <w:rsid w:val="004374E8"/>
    <w:rsid w:val="0045618F"/>
    <w:rsid w:val="004632AB"/>
    <w:rsid w:val="004749F9"/>
    <w:rsid w:val="004B02D3"/>
    <w:rsid w:val="004D5392"/>
    <w:rsid w:val="004E5BAC"/>
    <w:rsid w:val="0050117F"/>
    <w:rsid w:val="0052444D"/>
    <w:rsid w:val="00553AFF"/>
    <w:rsid w:val="0055639A"/>
    <w:rsid w:val="00562030"/>
    <w:rsid w:val="005B1F29"/>
    <w:rsid w:val="005C7599"/>
    <w:rsid w:val="005D39CC"/>
    <w:rsid w:val="006221AC"/>
    <w:rsid w:val="0070554D"/>
    <w:rsid w:val="007062B8"/>
    <w:rsid w:val="0071278F"/>
    <w:rsid w:val="007669ED"/>
    <w:rsid w:val="00777458"/>
    <w:rsid w:val="00792D91"/>
    <w:rsid w:val="00792F66"/>
    <w:rsid w:val="00794D1D"/>
    <w:rsid w:val="007B6219"/>
    <w:rsid w:val="00817705"/>
    <w:rsid w:val="008806A9"/>
    <w:rsid w:val="009161FC"/>
    <w:rsid w:val="009170BD"/>
    <w:rsid w:val="00921790"/>
    <w:rsid w:val="009479F1"/>
    <w:rsid w:val="00A8146F"/>
    <w:rsid w:val="00B1593E"/>
    <w:rsid w:val="00B332F5"/>
    <w:rsid w:val="00B84209"/>
    <w:rsid w:val="00BC6836"/>
    <w:rsid w:val="00BD0253"/>
    <w:rsid w:val="00C54F08"/>
    <w:rsid w:val="00C710CB"/>
    <w:rsid w:val="00CB4BB6"/>
    <w:rsid w:val="00CB5C29"/>
    <w:rsid w:val="00D00B7D"/>
    <w:rsid w:val="00D34F32"/>
    <w:rsid w:val="00D40412"/>
    <w:rsid w:val="00D63F0A"/>
    <w:rsid w:val="00D67FEF"/>
    <w:rsid w:val="00DB1B2D"/>
    <w:rsid w:val="00DB3C0E"/>
    <w:rsid w:val="00DC17E9"/>
    <w:rsid w:val="00E24DF4"/>
    <w:rsid w:val="00E3021E"/>
    <w:rsid w:val="00EA16CE"/>
    <w:rsid w:val="00EF0F35"/>
    <w:rsid w:val="00F01E07"/>
    <w:rsid w:val="00F241B3"/>
    <w:rsid w:val="00F3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character" w:styleId="Hyperlink">
    <w:name w:val="Hyperlink"/>
    <w:basedOn w:val="Absatz-Standardschriftart"/>
    <w:unhideWhenUsed/>
    <w:rsid w:val="0055639A"/>
    <w:rPr>
      <w:color w:val="0000FF" w:themeColor="hyperlink"/>
      <w:u w:val="single"/>
    </w:rPr>
  </w:style>
  <w:style w:type="character" w:styleId="NichtaufgelsteErwhnung">
    <w:name w:val="Unresolved Mention"/>
    <w:basedOn w:val="Absatz-Standardschriftart"/>
    <w:uiPriority w:val="99"/>
    <w:semiHidden/>
    <w:unhideWhenUsed/>
    <w:rsid w:val="0055639A"/>
    <w:rPr>
      <w:color w:val="605E5C"/>
      <w:shd w:val="clear" w:color="auto" w:fill="E1DFDD"/>
    </w:rPr>
  </w:style>
  <w:style w:type="paragraph" w:styleId="berarbeitung">
    <w:name w:val="Revision"/>
    <w:hidden/>
    <w:uiPriority w:val="99"/>
    <w:semiHidden/>
    <w:rsid w:val="00D00B7D"/>
    <w:rPr>
      <w:rFonts w:ascii="Arial" w:hAnsi="Arial"/>
      <w:kern w:val="4"/>
      <w:sz w:val="22"/>
      <w:lang w:val="de-DE" w:eastAsia="de-DE"/>
    </w:rPr>
  </w:style>
  <w:style w:type="character" w:styleId="BesuchterLink">
    <w:name w:val="FollowedHyperlink"/>
    <w:basedOn w:val="Absatz-Standardschriftart"/>
    <w:semiHidden/>
    <w:unhideWhenUsed/>
    <w:rsid w:val="005B1F29"/>
    <w:rPr>
      <w:color w:val="800080" w:themeColor="followedHyperlink"/>
      <w:u w:val="single"/>
    </w:rPr>
  </w:style>
  <w:style w:type="paragraph" w:styleId="Kommentarthema">
    <w:name w:val="annotation subject"/>
    <w:basedOn w:val="Kommentartext"/>
    <w:next w:val="Kommentartext"/>
    <w:link w:val="KommentarthemaZchn"/>
    <w:semiHidden/>
    <w:unhideWhenUsed/>
    <w:rsid w:val="00B332F5"/>
    <w:pPr>
      <w:spacing w:line="240" w:lineRule="auto"/>
    </w:pPr>
    <w:rPr>
      <w:b/>
      <w:bCs/>
    </w:rPr>
  </w:style>
  <w:style w:type="character" w:customStyle="1" w:styleId="KommentartextZchn">
    <w:name w:val="Kommentartext Zchn"/>
    <w:basedOn w:val="Absatz-Standardschriftart"/>
    <w:link w:val="Kommentartext"/>
    <w:semiHidden/>
    <w:rsid w:val="00B332F5"/>
    <w:rPr>
      <w:rFonts w:ascii="Arial" w:hAnsi="Arial"/>
      <w:kern w:val="4"/>
      <w:lang w:val="de-DE" w:eastAsia="de-DE"/>
    </w:rPr>
  </w:style>
  <w:style w:type="character" w:customStyle="1" w:styleId="KommentarthemaZchn">
    <w:name w:val="Kommentarthema Zchn"/>
    <w:basedOn w:val="KommentartextZchn"/>
    <w:link w:val="Kommentarthema"/>
    <w:semiHidden/>
    <w:rsid w:val="00B332F5"/>
    <w:rPr>
      <w:rFonts w:ascii="Arial" w:hAnsi="Arial"/>
      <w:b/>
      <w:bCs/>
      <w:kern w:val="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presse-oeffentlichkeit/pressemitteilungen/"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vdw-frankfurt"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3466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3</cp:revision>
  <cp:lastPrinted>2023-08-15T07:12:00Z</cp:lastPrinted>
  <dcterms:created xsi:type="dcterms:W3CDTF">2023-08-07T09:29:00Z</dcterms:created>
  <dcterms:modified xsi:type="dcterms:W3CDTF">2023-08-15T07:12:00Z</dcterms:modified>
</cp:coreProperties>
</file>